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A7" w:rsidRPr="0074106F" w:rsidRDefault="000E734B" w:rsidP="000E734B">
      <w:pPr>
        <w:jc w:val="center"/>
        <w:rPr>
          <w:b/>
          <w:i/>
          <w:sz w:val="26"/>
          <w:szCs w:val="26"/>
          <w:lang w:val="el-GR"/>
        </w:rPr>
      </w:pPr>
      <w:r w:rsidRPr="0074106F">
        <w:rPr>
          <w:b/>
          <w:i/>
          <w:sz w:val="26"/>
          <w:szCs w:val="26"/>
          <w:lang w:val="el-GR"/>
        </w:rPr>
        <w:t>ΟΙΚΟΝΟΜΙΚΟ ΠΑΝΕΠΙΣΤΗΜΙΟ ΑΘΗΝΩΝ</w:t>
      </w:r>
    </w:p>
    <w:p w:rsidR="000E734B" w:rsidRPr="000E734B" w:rsidRDefault="000E734B" w:rsidP="000E734B">
      <w:pPr>
        <w:jc w:val="center"/>
        <w:rPr>
          <w:b/>
          <w:i/>
          <w:sz w:val="28"/>
          <w:szCs w:val="28"/>
          <w:lang w:val="el-GR"/>
        </w:rPr>
      </w:pPr>
      <w:r w:rsidRPr="0074106F">
        <w:rPr>
          <w:b/>
          <w:i/>
          <w:sz w:val="26"/>
          <w:szCs w:val="26"/>
          <w:lang w:val="el-GR"/>
        </w:rPr>
        <w:t>ΤΜΗΜΑ ΔΙΕΘΝΩΝ ΚΑΙ ΕΥΡΩΠΑΙΚΩΝ ΟΙΚΟΝΟΜΙΚΩΝ ΣΠΟΥΔΩΝ</w:t>
      </w:r>
    </w:p>
    <w:p w:rsidR="00315444" w:rsidRPr="000E734B" w:rsidRDefault="00315444" w:rsidP="003543A7">
      <w:pPr>
        <w:rPr>
          <w:rFonts w:ascii="Tahoma" w:hAnsi="Tahoma" w:cs="Tahoma"/>
          <w:b/>
          <w:i/>
          <w:sz w:val="20"/>
          <w:szCs w:val="20"/>
          <w:lang w:val="el-GR"/>
        </w:rPr>
      </w:pPr>
    </w:p>
    <w:p w:rsidR="003543A7" w:rsidRPr="000E734B" w:rsidRDefault="003543A7" w:rsidP="000E734B">
      <w:pPr>
        <w:jc w:val="center"/>
        <w:rPr>
          <w:rFonts w:asciiTheme="majorHAnsi" w:hAnsiTheme="majorHAnsi" w:cs="Tahoma"/>
          <w:b/>
          <w:i/>
          <w:lang w:val="el-GR"/>
        </w:rPr>
      </w:pPr>
      <w:r w:rsidRPr="000E734B">
        <w:rPr>
          <w:rFonts w:asciiTheme="majorHAnsi" w:hAnsiTheme="majorHAnsi" w:cs="Tahoma"/>
          <w:b/>
          <w:i/>
          <w:lang w:val="el-GR"/>
        </w:rPr>
        <w:t>ΤΟ ΔΙΠΛΩΜΑΤΙΚΟ ΣΥΣΤΗΜΑ ΤΗΣ ΕΥΡΩΠΑΙΚΗΣ ΕΝΩΣΗΣ</w:t>
      </w:r>
    </w:p>
    <w:p w:rsidR="000E734B" w:rsidRDefault="000E734B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</w:p>
    <w:p w:rsidR="003543A7" w:rsidRDefault="0030317A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  <w:r>
        <w:rPr>
          <w:rFonts w:asciiTheme="majorHAnsi" w:hAnsiTheme="majorHAnsi" w:cs="Tahoma"/>
          <w:b/>
          <w:i/>
          <w:sz w:val="20"/>
          <w:szCs w:val="20"/>
          <w:lang w:val="el-GR"/>
        </w:rPr>
        <w:t>Διδάσκων</w:t>
      </w:r>
      <w:r w:rsidRPr="00482BB9">
        <w:rPr>
          <w:rFonts w:asciiTheme="majorHAnsi" w:hAnsiTheme="majorHAnsi" w:cs="Tahoma"/>
          <w:b/>
          <w:i/>
          <w:sz w:val="20"/>
          <w:szCs w:val="20"/>
          <w:lang w:val="el-GR"/>
        </w:rPr>
        <w:t xml:space="preserve">: </w:t>
      </w:r>
      <w:r>
        <w:rPr>
          <w:rFonts w:asciiTheme="majorHAnsi" w:hAnsiTheme="majorHAnsi" w:cs="Tahoma"/>
          <w:b/>
          <w:i/>
          <w:sz w:val="20"/>
          <w:szCs w:val="20"/>
          <w:lang w:val="el-GR"/>
        </w:rPr>
        <w:t xml:space="preserve">Δ. </w:t>
      </w:r>
      <w:proofErr w:type="spellStart"/>
      <w:r>
        <w:rPr>
          <w:rFonts w:asciiTheme="majorHAnsi" w:hAnsiTheme="majorHAnsi" w:cs="Tahoma"/>
          <w:b/>
          <w:i/>
          <w:sz w:val="20"/>
          <w:szCs w:val="20"/>
          <w:lang w:val="el-GR"/>
        </w:rPr>
        <w:t>Μπουραντώνης</w:t>
      </w:r>
      <w:proofErr w:type="spellEnd"/>
    </w:p>
    <w:p w:rsidR="0074106F" w:rsidRDefault="0074106F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  <w:r>
        <w:rPr>
          <w:rFonts w:asciiTheme="majorHAnsi" w:hAnsiTheme="majorHAnsi" w:cs="Tahoma"/>
          <w:b/>
          <w:i/>
          <w:sz w:val="20"/>
          <w:szCs w:val="20"/>
          <w:lang w:val="el-GR"/>
        </w:rPr>
        <w:t xml:space="preserve">Γραφείο: Κεντρικό Κτήριο, Πτέρυγα </w:t>
      </w:r>
      <w:proofErr w:type="spellStart"/>
      <w:r>
        <w:rPr>
          <w:rFonts w:asciiTheme="majorHAnsi" w:hAnsiTheme="majorHAnsi" w:cs="Tahoma"/>
          <w:b/>
          <w:i/>
          <w:sz w:val="20"/>
          <w:szCs w:val="20"/>
          <w:lang w:val="el-GR"/>
        </w:rPr>
        <w:t>Δεριγνύ</w:t>
      </w:r>
      <w:proofErr w:type="spellEnd"/>
      <w:r>
        <w:rPr>
          <w:rFonts w:asciiTheme="majorHAnsi" w:hAnsiTheme="majorHAnsi" w:cs="Tahoma"/>
          <w:b/>
          <w:i/>
          <w:sz w:val="20"/>
          <w:szCs w:val="20"/>
          <w:lang w:val="el-GR"/>
        </w:rPr>
        <w:t>, 4ος όροφος</w:t>
      </w:r>
    </w:p>
    <w:p w:rsidR="0074106F" w:rsidRDefault="0074106F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  <w:r>
        <w:rPr>
          <w:rFonts w:asciiTheme="majorHAnsi" w:hAnsiTheme="majorHAnsi" w:cs="Tahoma"/>
          <w:b/>
          <w:i/>
          <w:sz w:val="20"/>
          <w:szCs w:val="20"/>
          <w:lang w:val="el-GR"/>
        </w:rPr>
        <w:t>Ώρες Γραφείου: Τετάρτη 15:00 - 17:00</w:t>
      </w:r>
    </w:p>
    <w:p w:rsidR="0074106F" w:rsidRPr="0074106F" w:rsidRDefault="0074106F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  <w:proofErr w:type="spellStart"/>
      <w:r>
        <w:rPr>
          <w:rFonts w:asciiTheme="majorHAnsi" w:hAnsiTheme="majorHAnsi" w:cs="Tahoma"/>
          <w:b/>
          <w:i/>
          <w:sz w:val="20"/>
          <w:szCs w:val="20"/>
          <w:lang w:val="el-GR"/>
        </w:rPr>
        <w:t>Ηλεκτ</w:t>
      </w:r>
      <w:proofErr w:type="spellEnd"/>
      <w:r>
        <w:rPr>
          <w:rFonts w:asciiTheme="majorHAnsi" w:hAnsiTheme="majorHAnsi" w:cs="Tahoma"/>
          <w:b/>
          <w:i/>
          <w:sz w:val="20"/>
          <w:szCs w:val="20"/>
          <w:lang w:val="el-GR"/>
        </w:rPr>
        <w:t>. Δ/</w:t>
      </w:r>
      <w:proofErr w:type="spellStart"/>
      <w:r>
        <w:rPr>
          <w:rFonts w:asciiTheme="majorHAnsi" w:hAnsiTheme="majorHAnsi" w:cs="Tahoma"/>
          <w:b/>
          <w:i/>
          <w:sz w:val="20"/>
          <w:szCs w:val="20"/>
          <w:lang w:val="el-GR"/>
        </w:rPr>
        <w:t>νση:</w:t>
      </w:r>
      <w:proofErr w:type="spellEnd"/>
      <w:r>
        <w:rPr>
          <w:rFonts w:asciiTheme="majorHAnsi" w:hAnsiTheme="majorHAnsi" w:cs="Tahoma"/>
          <w:b/>
          <w:i/>
          <w:sz w:val="20"/>
          <w:szCs w:val="20"/>
          <w:lang w:val="el-GR"/>
        </w:rPr>
        <w:t xml:space="preserve"> </w:t>
      </w:r>
      <w:proofErr w:type="spellStart"/>
      <w:r w:rsidRPr="0074106F">
        <w:rPr>
          <w:rFonts w:asciiTheme="majorHAnsi" w:hAnsiTheme="majorHAnsi" w:cs="Tahoma"/>
          <w:b/>
          <w:i/>
          <w:color w:val="0000FF"/>
          <w:sz w:val="20"/>
          <w:szCs w:val="20"/>
          <w:lang w:val="en-US"/>
        </w:rPr>
        <w:t>bouranto</w:t>
      </w:r>
      <w:proofErr w:type="spellEnd"/>
      <w:r w:rsidRPr="0074106F">
        <w:rPr>
          <w:rFonts w:asciiTheme="majorHAnsi" w:hAnsiTheme="majorHAnsi" w:cs="Tahoma"/>
          <w:b/>
          <w:i/>
          <w:color w:val="0000FF"/>
          <w:sz w:val="20"/>
          <w:szCs w:val="20"/>
          <w:lang w:val="el-GR"/>
        </w:rPr>
        <w:t>@</w:t>
      </w:r>
      <w:proofErr w:type="spellStart"/>
      <w:r w:rsidRPr="0074106F">
        <w:rPr>
          <w:rFonts w:asciiTheme="majorHAnsi" w:hAnsiTheme="majorHAnsi" w:cs="Tahoma"/>
          <w:b/>
          <w:i/>
          <w:color w:val="0000FF"/>
          <w:sz w:val="20"/>
          <w:szCs w:val="20"/>
          <w:lang w:val="en-US"/>
        </w:rPr>
        <w:t>aueb</w:t>
      </w:r>
      <w:proofErr w:type="spellEnd"/>
      <w:r w:rsidRPr="0074106F">
        <w:rPr>
          <w:rFonts w:asciiTheme="majorHAnsi" w:hAnsiTheme="majorHAnsi" w:cs="Tahoma"/>
          <w:b/>
          <w:i/>
          <w:color w:val="0000FF"/>
          <w:sz w:val="20"/>
          <w:szCs w:val="20"/>
          <w:lang w:val="el-GR"/>
        </w:rPr>
        <w:t>.</w:t>
      </w:r>
      <w:proofErr w:type="spellStart"/>
      <w:r w:rsidRPr="0074106F">
        <w:rPr>
          <w:rFonts w:asciiTheme="majorHAnsi" w:hAnsiTheme="majorHAnsi" w:cs="Tahoma"/>
          <w:b/>
          <w:i/>
          <w:color w:val="0000FF"/>
          <w:sz w:val="20"/>
          <w:szCs w:val="20"/>
          <w:lang w:val="en-US"/>
        </w:rPr>
        <w:t>gr</w:t>
      </w:r>
      <w:proofErr w:type="spellEnd"/>
    </w:p>
    <w:p w:rsidR="000E734B" w:rsidRDefault="000E734B" w:rsidP="003543A7">
      <w:pPr>
        <w:rPr>
          <w:rFonts w:asciiTheme="majorHAnsi" w:hAnsiTheme="majorHAnsi" w:cs="Tahoma"/>
          <w:b/>
          <w:i/>
          <w:sz w:val="20"/>
          <w:szCs w:val="20"/>
          <w:lang w:val="el-GR"/>
        </w:rPr>
      </w:pPr>
    </w:p>
    <w:p w:rsidR="00315444" w:rsidRPr="0074106F" w:rsidRDefault="00315444" w:rsidP="00156E2F">
      <w:pPr>
        <w:pStyle w:val="a3"/>
        <w:ind w:left="0"/>
        <w:jc w:val="both"/>
        <w:rPr>
          <w:rFonts w:asciiTheme="majorHAnsi" w:hAnsiTheme="majorHAnsi" w:cs="Arial"/>
          <w:color w:val="222222"/>
          <w:lang w:val="en-US"/>
        </w:rPr>
      </w:pPr>
      <w:r w:rsidRPr="00774F3C">
        <w:rPr>
          <w:rFonts w:asciiTheme="majorHAnsi" w:hAnsiTheme="majorHAnsi" w:cs="Arial"/>
          <w:color w:val="222222"/>
          <w:lang w:val="el-GR"/>
        </w:rPr>
        <w:t>Βασικό</w:t>
      </w:r>
      <w:r w:rsidRPr="0074106F">
        <w:rPr>
          <w:rFonts w:asciiTheme="majorHAnsi" w:hAnsiTheme="majorHAnsi" w:cs="Arial"/>
          <w:color w:val="222222"/>
          <w:lang w:val="en-US"/>
        </w:rPr>
        <w:t xml:space="preserve"> </w:t>
      </w:r>
      <w:r w:rsidRPr="00774F3C">
        <w:rPr>
          <w:rFonts w:asciiTheme="majorHAnsi" w:hAnsiTheme="majorHAnsi" w:cs="Arial"/>
          <w:color w:val="222222"/>
          <w:lang w:val="el-GR"/>
        </w:rPr>
        <w:t>εγχειρίδιο</w:t>
      </w:r>
    </w:p>
    <w:p w:rsidR="00315444" w:rsidRPr="00774F3C" w:rsidRDefault="00315444" w:rsidP="00156E2F">
      <w:pPr>
        <w:pStyle w:val="a3"/>
        <w:ind w:left="0"/>
        <w:jc w:val="both"/>
        <w:rPr>
          <w:rFonts w:asciiTheme="majorHAnsi" w:hAnsiTheme="majorHAnsi" w:cs="Tahoma"/>
          <w:i/>
          <w:iCs/>
          <w:lang w:val="en-US"/>
        </w:rPr>
      </w:pPr>
      <w:proofErr w:type="spellStart"/>
      <w:r w:rsidRPr="00774F3C">
        <w:rPr>
          <w:rFonts w:asciiTheme="majorHAnsi" w:hAnsiTheme="majorHAnsi" w:cs="Tahoma"/>
          <w:lang w:val="en-US"/>
        </w:rPr>
        <w:t>Mahncke</w:t>
      </w:r>
      <w:proofErr w:type="spellEnd"/>
      <w:r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Pr="00774F3C">
        <w:rPr>
          <w:rFonts w:asciiTheme="majorHAnsi" w:hAnsiTheme="majorHAnsi" w:cs="Tahoma"/>
          <w:lang w:val="en-US"/>
        </w:rPr>
        <w:t>Gstohl</w:t>
      </w:r>
      <w:proofErr w:type="spellEnd"/>
      <w:r w:rsidRPr="00774F3C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Pr="00774F3C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Pr="00774F3C">
        <w:rPr>
          <w:rFonts w:asciiTheme="majorHAnsi" w:hAnsiTheme="majorHAnsi" w:cs="Tahoma"/>
          <w:lang w:val="en-US"/>
        </w:rPr>
        <w:t xml:space="preserve">) </w:t>
      </w:r>
      <w:r w:rsidRPr="00774F3C">
        <w:rPr>
          <w:rFonts w:asciiTheme="majorHAnsi" w:hAnsiTheme="majorHAnsi" w:cs="Tahoma"/>
          <w:i/>
          <w:lang w:val="en-US"/>
        </w:rPr>
        <w:t>European Union Diplomacy</w:t>
      </w:r>
      <w:r w:rsidRPr="00774F3C">
        <w:rPr>
          <w:rFonts w:asciiTheme="majorHAnsi" w:hAnsiTheme="majorHAnsi" w:cs="Tahoma"/>
          <w:lang w:val="en-US"/>
        </w:rPr>
        <w:t xml:space="preserve"> (Brussels: Peter Lang, 2012)</w:t>
      </w:r>
      <w:r w:rsidRPr="00774F3C">
        <w:rPr>
          <w:rFonts w:asciiTheme="majorHAnsi" w:hAnsiTheme="majorHAnsi" w:cs="Tahoma"/>
          <w:i/>
          <w:iCs/>
          <w:lang w:val="en-US"/>
        </w:rPr>
        <w:t>.</w:t>
      </w:r>
    </w:p>
    <w:p w:rsidR="00482BB9" w:rsidRPr="00774F3C" w:rsidRDefault="00482BB9" w:rsidP="00156E2F">
      <w:pPr>
        <w:pStyle w:val="a3"/>
        <w:ind w:left="0"/>
        <w:jc w:val="both"/>
        <w:rPr>
          <w:rFonts w:asciiTheme="majorHAnsi" w:hAnsiTheme="majorHAnsi" w:cs="Tahoma"/>
          <w:i/>
          <w:iCs/>
          <w:lang w:val="en-US"/>
        </w:rPr>
      </w:pPr>
    </w:p>
    <w:p w:rsidR="00CC7A25" w:rsidRDefault="00CC7A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</w:p>
    <w:p w:rsidR="00CC7A25" w:rsidRPr="00940525" w:rsidRDefault="00CC7A25" w:rsidP="00940525">
      <w:pPr>
        <w:pStyle w:val="a3"/>
        <w:numPr>
          <w:ilvl w:val="0"/>
          <w:numId w:val="9"/>
        </w:numPr>
        <w:shd w:val="clear" w:color="auto" w:fill="F5F5F5"/>
        <w:ind w:left="0" w:firstLine="0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Η Ευρωπαϊκή Διπλωματία ως Σύστημα μετά τη Συνθήκη της Λισαβόνας.</w:t>
      </w:r>
    </w:p>
    <w:p w:rsidR="00CC7A25" w:rsidRPr="00CC7A25" w:rsidRDefault="00CC7A25" w:rsidP="00940525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CC7A25" w:rsidRPr="00CA1C59" w:rsidRDefault="00E769BC" w:rsidP="00940525">
      <w:pPr>
        <w:pStyle w:val="a3"/>
        <w:ind w:left="0"/>
        <w:jc w:val="both"/>
        <w:rPr>
          <w:rFonts w:asciiTheme="majorHAnsi" w:hAnsiTheme="majorHAnsi" w:cs="Tahoma"/>
          <w:i/>
          <w:iCs/>
          <w:lang w:val="en-US"/>
        </w:rPr>
      </w:pPr>
      <w:r>
        <w:rPr>
          <w:rFonts w:asciiTheme="majorHAnsi" w:hAnsiTheme="majorHAnsi" w:cs="Tahoma"/>
          <w:lang w:val="en-US"/>
        </w:rPr>
        <w:t>*</w:t>
      </w:r>
      <w:proofErr w:type="spellStart"/>
      <w:r w:rsidR="00CC7A25" w:rsidRPr="00774F3C">
        <w:rPr>
          <w:rFonts w:asciiTheme="majorHAnsi" w:hAnsiTheme="majorHAnsi" w:cs="Tahoma"/>
          <w:lang w:val="en-US"/>
        </w:rPr>
        <w:t>Mahncke</w:t>
      </w:r>
      <w:proofErr w:type="spellEnd"/>
      <w:r w:rsidR="00CC7A25"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="00CC7A25" w:rsidRPr="00774F3C">
        <w:rPr>
          <w:rFonts w:asciiTheme="majorHAnsi" w:hAnsiTheme="majorHAnsi" w:cs="Tahoma"/>
          <w:lang w:val="en-US"/>
        </w:rPr>
        <w:t>Gstohl</w:t>
      </w:r>
      <w:proofErr w:type="spellEnd"/>
      <w:r w:rsidR="00CC7A25" w:rsidRPr="00774F3C">
        <w:rPr>
          <w:rFonts w:asciiTheme="majorHAnsi" w:hAnsiTheme="majorHAnsi" w:cs="Tahoma"/>
          <w:lang w:val="en-US"/>
        </w:rPr>
        <w:t>, S. (</w:t>
      </w:r>
      <w:proofErr w:type="spellStart"/>
      <w:r w:rsidR="00CC7A25" w:rsidRPr="00774F3C">
        <w:rPr>
          <w:rFonts w:asciiTheme="majorHAnsi" w:hAnsiTheme="majorHAnsi" w:cs="Tahoma"/>
          <w:lang w:val="en-US"/>
        </w:rPr>
        <w:t>eds</w:t>
      </w:r>
      <w:proofErr w:type="spellEnd"/>
      <w:r w:rsidR="00CC7A25" w:rsidRPr="00774F3C">
        <w:rPr>
          <w:rFonts w:asciiTheme="majorHAnsi" w:hAnsiTheme="majorHAnsi" w:cs="Tahoma"/>
          <w:lang w:val="en-US"/>
        </w:rPr>
        <w:t xml:space="preserve">) </w:t>
      </w:r>
      <w:r w:rsidR="00CC7A25" w:rsidRPr="00774F3C">
        <w:rPr>
          <w:rFonts w:asciiTheme="majorHAnsi" w:hAnsiTheme="majorHAnsi" w:cs="Tahoma"/>
          <w:i/>
          <w:lang w:val="en-US"/>
        </w:rPr>
        <w:t>European Union Diplomacy</w:t>
      </w:r>
      <w:r w:rsidR="00CC7A25" w:rsidRPr="00774F3C">
        <w:rPr>
          <w:rFonts w:asciiTheme="majorHAnsi" w:hAnsiTheme="majorHAnsi" w:cs="Tahoma"/>
          <w:lang w:val="en-US"/>
        </w:rPr>
        <w:t xml:space="preserve"> (Brussels: Peter Lang, 2012)</w:t>
      </w:r>
      <w:proofErr w:type="gramStart"/>
      <w:r w:rsidR="00CC7A25" w:rsidRPr="00CC7A25">
        <w:rPr>
          <w:rFonts w:asciiTheme="majorHAnsi" w:hAnsiTheme="majorHAnsi" w:cs="Tahoma"/>
          <w:i/>
          <w:iCs/>
          <w:lang w:val="en-US"/>
        </w:rPr>
        <w:t>,</w:t>
      </w:r>
      <w:r w:rsidR="00CA1C59">
        <w:rPr>
          <w:rFonts w:asciiTheme="majorHAnsi" w:hAnsiTheme="majorHAnsi" w:cs="Tahoma"/>
          <w:i/>
          <w:iCs/>
          <w:lang w:val="en-IE"/>
        </w:rPr>
        <w:t>pp</w:t>
      </w:r>
      <w:proofErr w:type="gramEnd"/>
      <w:r w:rsidR="00CA1C59">
        <w:rPr>
          <w:rFonts w:asciiTheme="majorHAnsi" w:hAnsiTheme="majorHAnsi" w:cs="Tahoma"/>
          <w:i/>
          <w:iCs/>
          <w:lang w:val="en-IE"/>
        </w:rPr>
        <w:t xml:space="preserve"> 30-40</w:t>
      </w:r>
      <w:r w:rsidR="00CA1C59">
        <w:rPr>
          <w:rFonts w:asciiTheme="majorHAnsi" w:hAnsiTheme="majorHAnsi" w:cs="Tahoma"/>
          <w:i/>
          <w:iCs/>
          <w:lang w:val="en-US"/>
        </w:rPr>
        <w:t xml:space="preserve"> (</w:t>
      </w:r>
      <w:r w:rsidR="00CA1C59">
        <w:rPr>
          <w:rFonts w:asciiTheme="majorHAnsi" w:hAnsiTheme="majorHAnsi" w:cs="Tahoma"/>
          <w:i/>
          <w:iCs/>
          <w:lang w:val="el-GR"/>
        </w:rPr>
        <w:t>διανέμεται</w:t>
      </w:r>
      <w:r w:rsidR="00CA1C59" w:rsidRPr="00CA1C59">
        <w:rPr>
          <w:rFonts w:asciiTheme="majorHAnsi" w:hAnsiTheme="majorHAnsi" w:cs="Tahoma"/>
          <w:i/>
          <w:iCs/>
          <w:lang w:val="en-US"/>
        </w:rPr>
        <w:t xml:space="preserve">) </w:t>
      </w:r>
    </w:p>
    <w:p w:rsidR="00CC7A25" w:rsidRPr="00CC7A25" w:rsidRDefault="00CC7A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8F35B9" w:rsidRPr="00940525" w:rsidRDefault="00774F3C" w:rsidP="00940525">
      <w:pPr>
        <w:pStyle w:val="a3"/>
        <w:numPr>
          <w:ilvl w:val="0"/>
          <w:numId w:val="9"/>
        </w:numPr>
        <w:shd w:val="clear" w:color="auto" w:fill="F5F5F5"/>
        <w:ind w:left="0" w:firstLine="0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Ο Διπλωματικός Ρόλος του ‘</w:t>
      </w:r>
      <w:proofErr w:type="spellStart"/>
      <w:r w:rsidRPr="00940525">
        <w:rPr>
          <w:rStyle w:val="hps"/>
          <w:rFonts w:asciiTheme="majorHAnsi" w:hAnsiTheme="majorHAnsi"/>
          <w:b/>
          <w:color w:val="222222"/>
          <w:lang w:val="el-GR"/>
        </w:rPr>
        <w:t>Υπατου</w:t>
      </w:r>
      <w:proofErr w:type="spellEnd"/>
      <w:r w:rsidRPr="00940525">
        <w:rPr>
          <w:rStyle w:val="hps"/>
          <w:rFonts w:asciiTheme="majorHAnsi" w:hAnsiTheme="majorHAnsi"/>
          <w:b/>
          <w:color w:val="222222"/>
          <w:lang w:val="el-GR"/>
        </w:rPr>
        <w:t xml:space="preserve"> Εκπροσώπου της ΕΕ.</w:t>
      </w:r>
    </w:p>
    <w:p w:rsidR="008F35B9" w:rsidRPr="008C14A4" w:rsidRDefault="008F35B9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8F35B9" w:rsidRPr="0074106F" w:rsidRDefault="008C14A4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i/>
          <w:iCs/>
          <w:lang w:val="en-US"/>
        </w:rPr>
      </w:pPr>
      <w:r w:rsidRPr="008C14A4">
        <w:rPr>
          <w:rFonts w:asciiTheme="majorHAnsi" w:hAnsiTheme="majorHAnsi" w:cs="Tahoma"/>
          <w:lang w:val="en-US"/>
        </w:rPr>
        <w:t>*</w:t>
      </w:r>
      <w:proofErr w:type="spellStart"/>
      <w:r w:rsidR="00774F3C" w:rsidRPr="00774F3C">
        <w:rPr>
          <w:rFonts w:asciiTheme="majorHAnsi" w:hAnsiTheme="majorHAnsi" w:cs="Tahoma"/>
          <w:lang w:val="en-US"/>
        </w:rPr>
        <w:t>Mahncke</w:t>
      </w:r>
      <w:proofErr w:type="spellEnd"/>
      <w:r w:rsidR="00774F3C"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="00774F3C" w:rsidRPr="00774F3C">
        <w:rPr>
          <w:rFonts w:asciiTheme="majorHAnsi" w:hAnsiTheme="majorHAnsi" w:cs="Tahoma"/>
          <w:lang w:val="en-US"/>
        </w:rPr>
        <w:t>Gstohl</w:t>
      </w:r>
      <w:proofErr w:type="spellEnd"/>
      <w:r w:rsidR="00774F3C" w:rsidRPr="00774F3C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="00774F3C" w:rsidRPr="00774F3C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="00774F3C" w:rsidRPr="00774F3C">
        <w:rPr>
          <w:rFonts w:asciiTheme="majorHAnsi" w:hAnsiTheme="majorHAnsi" w:cs="Tahoma"/>
          <w:lang w:val="en-US"/>
        </w:rPr>
        <w:t xml:space="preserve">) </w:t>
      </w:r>
      <w:r w:rsidR="00774F3C" w:rsidRPr="00774F3C">
        <w:rPr>
          <w:rFonts w:asciiTheme="majorHAnsi" w:hAnsiTheme="majorHAnsi" w:cs="Tahoma"/>
          <w:i/>
          <w:lang w:val="en-US"/>
        </w:rPr>
        <w:t>European Union Diplomacy</w:t>
      </w:r>
      <w:r w:rsidR="00774F3C" w:rsidRPr="00774F3C">
        <w:rPr>
          <w:rFonts w:asciiTheme="majorHAnsi" w:hAnsiTheme="majorHAnsi" w:cs="Tahoma"/>
          <w:lang w:val="en-US"/>
        </w:rPr>
        <w:t xml:space="preserve"> (Brussels: Peter Lang, 2012)</w:t>
      </w:r>
      <w:r w:rsidR="00774F3C">
        <w:rPr>
          <w:rFonts w:asciiTheme="majorHAnsi" w:hAnsiTheme="majorHAnsi" w:cs="Tahoma"/>
          <w:i/>
          <w:iCs/>
          <w:lang w:val="en-US"/>
        </w:rPr>
        <w:t xml:space="preserve">, </w:t>
      </w:r>
      <w:r w:rsidR="00774F3C">
        <w:rPr>
          <w:rFonts w:asciiTheme="majorHAnsi" w:hAnsiTheme="majorHAnsi" w:cs="Tahoma"/>
          <w:i/>
          <w:iCs/>
          <w:lang w:val="en-IE"/>
        </w:rPr>
        <w:t>pp. 54-56</w:t>
      </w:r>
      <w:r w:rsidR="00415A6C">
        <w:rPr>
          <w:rFonts w:asciiTheme="majorHAnsi" w:hAnsiTheme="majorHAnsi" w:cs="Tahoma"/>
          <w:i/>
          <w:iCs/>
          <w:lang w:val="en-IE"/>
        </w:rPr>
        <w:t>, 9</w:t>
      </w:r>
      <w:r w:rsidR="00415A6C" w:rsidRPr="00415A6C">
        <w:rPr>
          <w:rFonts w:asciiTheme="majorHAnsi" w:hAnsiTheme="majorHAnsi" w:cs="Tahoma"/>
          <w:i/>
          <w:iCs/>
          <w:lang w:val="en-US"/>
        </w:rPr>
        <w:t>7</w:t>
      </w:r>
      <w:r w:rsidR="004B1613">
        <w:rPr>
          <w:rFonts w:asciiTheme="majorHAnsi" w:hAnsiTheme="majorHAnsi" w:cs="Tahoma"/>
          <w:i/>
          <w:iCs/>
          <w:lang w:val="en-IE"/>
        </w:rPr>
        <w:t>-102</w:t>
      </w:r>
      <w:r w:rsidR="00CA4F9A">
        <w:rPr>
          <w:rFonts w:asciiTheme="majorHAnsi" w:hAnsiTheme="majorHAnsi" w:cs="Tahoma"/>
          <w:i/>
          <w:iCs/>
          <w:lang w:val="en-IE"/>
        </w:rPr>
        <w:t>.</w:t>
      </w:r>
      <w:r w:rsidR="00CA1C59" w:rsidRPr="00CA1C59">
        <w:rPr>
          <w:rFonts w:asciiTheme="majorHAnsi" w:hAnsiTheme="majorHAnsi" w:cs="Tahoma"/>
          <w:i/>
          <w:iCs/>
          <w:lang w:val="en-US"/>
        </w:rPr>
        <w:t xml:space="preserve"> </w:t>
      </w:r>
      <w:r w:rsidR="00CA1C59" w:rsidRPr="0074106F">
        <w:rPr>
          <w:rFonts w:asciiTheme="majorHAnsi" w:hAnsiTheme="majorHAnsi" w:cs="Tahoma"/>
          <w:i/>
          <w:iCs/>
          <w:lang w:val="en-US"/>
        </w:rPr>
        <w:t>(</w:t>
      </w:r>
      <w:proofErr w:type="gramStart"/>
      <w:r w:rsidR="00CA1C59">
        <w:rPr>
          <w:rFonts w:asciiTheme="majorHAnsi" w:hAnsiTheme="majorHAnsi" w:cs="Tahoma"/>
          <w:i/>
          <w:iCs/>
          <w:lang w:val="el-GR"/>
        </w:rPr>
        <w:t>διανέμεται</w:t>
      </w:r>
      <w:proofErr w:type="gramEnd"/>
      <w:r w:rsidR="00CA1C59" w:rsidRPr="0074106F">
        <w:rPr>
          <w:rFonts w:asciiTheme="majorHAnsi" w:hAnsiTheme="majorHAnsi" w:cs="Tahoma"/>
          <w:i/>
          <w:iCs/>
          <w:lang w:val="en-US"/>
        </w:rPr>
        <w:t>)</w:t>
      </w:r>
    </w:p>
    <w:p w:rsidR="00CA4F9A" w:rsidRDefault="00CA4F9A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i/>
          <w:iCs/>
          <w:lang w:val="en-IE"/>
        </w:rPr>
      </w:pPr>
    </w:p>
    <w:p w:rsidR="00CA4F9A" w:rsidRPr="00F4791C" w:rsidRDefault="008C14A4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  <w:r w:rsidRPr="008C14A4">
        <w:rPr>
          <w:rFonts w:asciiTheme="majorHAnsi" w:hAnsiTheme="majorHAnsi" w:cs="Tahoma"/>
          <w:i/>
          <w:iCs/>
          <w:lang w:val="en-US"/>
        </w:rPr>
        <w:t>*</w:t>
      </w:r>
      <w:r w:rsidR="00CA4F9A">
        <w:rPr>
          <w:rFonts w:asciiTheme="majorHAnsi" w:hAnsiTheme="majorHAnsi" w:cs="Tahoma"/>
          <w:i/>
          <w:iCs/>
          <w:lang w:val="en-IE"/>
        </w:rPr>
        <w:t xml:space="preserve">Anne-Claire </w:t>
      </w:r>
      <w:proofErr w:type="spellStart"/>
      <w:r w:rsidR="00CA4F9A">
        <w:rPr>
          <w:rFonts w:asciiTheme="majorHAnsi" w:hAnsiTheme="majorHAnsi" w:cs="Tahoma"/>
          <w:i/>
          <w:iCs/>
          <w:lang w:val="en-IE"/>
        </w:rPr>
        <w:t>Marangoni</w:t>
      </w:r>
      <w:proofErr w:type="spellEnd"/>
      <w:r w:rsidR="00CA4F9A">
        <w:rPr>
          <w:rFonts w:asciiTheme="majorHAnsi" w:hAnsiTheme="majorHAnsi" w:cs="Tahoma"/>
          <w:i/>
          <w:iCs/>
          <w:lang w:val="en-IE"/>
        </w:rPr>
        <w:t xml:space="preserve">, ‘One Hat too Many for the High Representative? The Coherence of EU’s External Policies after Lisbon’, EU External </w:t>
      </w:r>
      <w:proofErr w:type="gramStart"/>
      <w:r w:rsidR="00CA4F9A">
        <w:rPr>
          <w:rFonts w:asciiTheme="majorHAnsi" w:hAnsiTheme="majorHAnsi" w:cs="Tahoma"/>
          <w:i/>
          <w:iCs/>
          <w:lang w:val="en-IE"/>
        </w:rPr>
        <w:t>Affairs  Review</w:t>
      </w:r>
      <w:proofErr w:type="gramEnd"/>
      <w:r w:rsidR="00CA4F9A">
        <w:rPr>
          <w:rFonts w:asciiTheme="majorHAnsi" w:hAnsiTheme="majorHAnsi" w:cs="Tahoma"/>
          <w:i/>
          <w:iCs/>
          <w:lang w:val="en-IE"/>
        </w:rPr>
        <w:t xml:space="preserve"> , July 2012, pp. 4-17</w:t>
      </w:r>
      <w:r w:rsidR="00F4791C">
        <w:rPr>
          <w:rFonts w:asciiTheme="majorHAnsi" w:hAnsiTheme="majorHAnsi" w:cs="Tahoma"/>
          <w:i/>
          <w:iCs/>
          <w:lang w:val="en-IE"/>
        </w:rPr>
        <w:t xml:space="preserve"> </w:t>
      </w:r>
      <w:r w:rsidR="00F4791C" w:rsidRPr="00F4791C">
        <w:rPr>
          <w:rFonts w:asciiTheme="majorHAnsi" w:hAnsiTheme="majorHAnsi" w:cs="Tahoma"/>
          <w:b/>
          <w:i/>
          <w:iCs/>
          <w:lang w:val="en-IE"/>
        </w:rPr>
        <w:t>(e-clas</w:t>
      </w:r>
      <w:r w:rsidR="00CA4F9A" w:rsidRPr="00F4791C">
        <w:rPr>
          <w:rFonts w:asciiTheme="majorHAnsi" w:hAnsiTheme="majorHAnsi" w:cs="Tahoma"/>
          <w:b/>
          <w:i/>
          <w:iCs/>
          <w:lang w:val="en-IE"/>
        </w:rPr>
        <w:t>s document)</w:t>
      </w:r>
    </w:p>
    <w:p w:rsidR="008F35B9" w:rsidRPr="00774F3C" w:rsidRDefault="008F35B9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415A6C" w:rsidRPr="00B80E5A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u w:val="single"/>
          <w:lang w:val="en-US"/>
        </w:rPr>
      </w:pPr>
      <w:r w:rsidRPr="00415A6C">
        <w:rPr>
          <w:rFonts w:asciiTheme="majorHAnsi" w:hAnsiTheme="majorHAnsi"/>
          <w:color w:val="000000"/>
          <w:u w:val="single"/>
          <w:lang w:val="el-GR"/>
        </w:rPr>
        <w:t>Συμπληρωματική</w:t>
      </w:r>
      <w:r w:rsidR="00940525" w:rsidRPr="001D3495">
        <w:rPr>
          <w:rFonts w:asciiTheme="majorHAnsi" w:hAnsiTheme="majorHAnsi"/>
          <w:color w:val="000000"/>
          <w:u w:val="single"/>
          <w:lang w:val="en-US"/>
        </w:rPr>
        <w:t>(</w:t>
      </w:r>
      <w:r w:rsidR="00940525">
        <w:rPr>
          <w:rFonts w:asciiTheme="majorHAnsi" w:hAnsiTheme="majorHAnsi"/>
          <w:color w:val="000000"/>
          <w:u w:val="single"/>
          <w:lang w:val="el-GR"/>
        </w:rPr>
        <w:t>προαιρετική</w:t>
      </w:r>
      <w:r w:rsidR="00940525" w:rsidRPr="001D3495">
        <w:rPr>
          <w:rFonts w:asciiTheme="majorHAnsi" w:hAnsiTheme="majorHAnsi"/>
          <w:color w:val="000000"/>
          <w:u w:val="single"/>
          <w:lang w:val="en-US"/>
        </w:rPr>
        <w:t>)</w:t>
      </w:r>
      <w:r w:rsidRPr="00B80E5A">
        <w:rPr>
          <w:rFonts w:asciiTheme="majorHAnsi" w:hAnsiTheme="majorHAnsi"/>
          <w:color w:val="000000"/>
          <w:u w:val="single"/>
          <w:lang w:val="en-US"/>
        </w:rPr>
        <w:t xml:space="preserve"> </w:t>
      </w:r>
      <w:r w:rsidRPr="00415A6C">
        <w:rPr>
          <w:rFonts w:asciiTheme="majorHAnsi" w:hAnsiTheme="majorHAnsi"/>
          <w:color w:val="000000"/>
          <w:u w:val="single"/>
          <w:lang w:val="el-GR"/>
        </w:rPr>
        <w:t>Βι</w:t>
      </w:r>
      <w:r w:rsidR="00940525">
        <w:rPr>
          <w:rFonts w:asciiTheme="majorHAnsi" w:hAnsiTheme="majorHAnsi"/>
          <w:color w:val="000000"/>
          <w:u w:val="single"/>
          <w:lang w:val="el-GR"/>
        </w:rPr>
        <w:t>β</w:t>
      </w:r>
      <w:r w:rsidRPr="00415A6C">
        <w:rPr>
          <w:rFonts w:asciiTheme="majorHAnsi" w:hAnsiTheme="majorHAnsi"/>
          <w:color w:val="000000"/>
          <w:u w:val="single"/>
          <w:lang w:val="el-GR"/>
        </w:rPr>
        <w:t>λιογραφία</w:t>
      </w:r>
    </w:p>
    <w:p w:rsidR="00415A6C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Bardi</w:t>
      </w:r>
      <w:proofErr w:type="spellEnd"/>
      <w:r>
        <w:rPr>
          <w:rFonts w:asciiTheme="majorHAnsi" w:hAnsiTheme="majorHAnsi"/>
          <w:color w:val="000000"/>
        </w:rPr>
        <w:t xml:space="preserve">, L. and </w:t>
      </w:r>
      <w:proofErr w:type="spellStart"/>
      <w:r>
        <w:rPr>
          <w:rFonts w:asciiTheme="majorHAnsi" w:hAnsiTheme="majorHAnsi"/>
          <w:color w:val="000000"/>
        </w:rPr>
        <w:t>Pizzimenti</w:t>
      </w:r>
      <w:proofErr w:type="spellEnd"/>
      <w:r>
        <w:rPr>
          <w:rFonts w:asciiTheme="majorHAnsi" w:hAnsiTheme="majorHAnsi"/>
          <w:color w:val="000000"/>
        </w:rPr>
        <w:t xml:space="preserve">, E. (2013) ‘Old Logics for New Games: The appointment of the EU’s High representative for Foreign Affairs and Security Policy’, </w:t>
      </w:r>
      <w:r w:rsidRPr="003673D9">
        <w:rPr>
          <w:rFonts w:asciiTheme="majorHAnsi" w:hAnsiTheme="majorHAnsi"/>
          <w:i/>
          <w:color w:val="000000"/>
        </w:rPr>
        <w:t>Contemporary Italian Politics</w:t>
      </w:r>
      <w:r>
        <w:rPr>
          <w:rFonts w:asciiTheme="majorHAnsi" w:hAnsiTheme="majorHAnsi"/>
          <w:color w:val="000000"/>
        </w:rPr>
        <w:t>, vol. 5. No 1, April, pp. 55-70.</w:t>
      </w:r>
    </w:p>
    <w:p w:rsidR="00415A6C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415A6C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Helwig</w:t>
      </w:r>
      <w:proofErr w:type="spellEnd"/>
      <w:r>
        <w:rPr>
          <w:rFonts w:asciiTheme="majorHAnsi" w:hAnsiTheme="majorHAnsi"/>
          <w:color w:val="000000"/>
        </w:rPr>
        <w:t xml:space="preserve">, N. and </w:t>
      </w:r>
      <w:proofErr w:type="spellStart"/>
      <w:r>
        <w:rPr>
          <w:rFonts w:asciiTheme="majorHAnsi" w:hAnsiTheme="majorHAnsi"/>
          <w:color w:val="000000"/>
        </w:rPr>
        <w:t>Ruger</w:t>
      </w:r>
      <w:proofErr w:type="spellEnd"/>
      <w:r>
        <w:rPr>
          <w:rFonts w:asciiTheme="majorHAnsi" w:hAnsiTheme="majorHAnsi"/>
          <w:color w:val="000000"/>
        </w:rPr>
        <w:t>, C (2014), ‘In</w:t>
      </w:r>
      <w:r w:rsidR="00E769BC">
        <w:rPr>
          <w:rFonts w:asciiTheme="majorHAnsi" w:hAnsiTheme="majorHAnsi"/>
          <w:color w:val="000000"/>
        </w:rPr>
        <w:t xml:space="preserve"> search of a Role for the High R</w:t>
      </w:r>
      <w:r>
        <w:rPr>
          <w:rFonts w:asciiTheme="majorHAnsi" w:hAnsiTheme="majorHAnsi"/>
          <w:color w:val="000000"/>
        </w:rPr>
        <w:t xml:space="preserve">epresentative: The Legacy of Catherine Ashton’, </w:t>
      </w:r>
      <w:r w:rsidRPr="00472250">
        <w:rPr>
          <w:rFonts w:asciiTheme="majorHAnsi" w:hAnsiTheme="majorHAnsi"/>
          <w:i/>
          <w:color w:val="000000"/>
        </w:rPr>
        <w:t>The International Spectator</w:t>
      </w:r>
      <w:r>
        <w:rPr>
          <w:rFonts w:asciiTheme="majorHAnsi" w:hAnsiTheme="majorHAnsi"/>
          <w:color w:val="000000"/>
        </w:rPr>
        <w:t>, vol. 49, no 4, pp. 1-17.</w:t>
      </w:r>
    </w:p>
    <w:p w:rsidR="00415A6C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:rsidR="00415A6C" w:rsidRPr="00321EDB" w:rsidRDefault="00415A6C" w:rsidP="0094052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  <w:r w:rsidRPr="00321EDB">
        <w:rPr>
          <w:rFonts w:asciiTheme="majorHAnsi" w:hAnsiTheme="majorHAnsi"/>
          <w:color w:val="000000"/>
        </w:rPr>
        <w:t>Jonas, Paul, ‘EU Foreign Policy After Lisbon: Will the New High Representative and the External Action Service Make a Difference?</w:t>
      </w:r>
      <w:proofErr w:type="gramStart"/>
      <w:r w:rsidRPr="00321EDB">
        <w:rPr>
          <w:rFonts w:asciiTheme="majorHAnsi" w:hAnsiTheme="majorHAnsi"/>
          <w:color w:val="000000"/>
        </w:rPr>
        <w:t>’,</w:t>
      </w:r>
      <w:proofErr w:type="gramEnd"/>
      <w:r w:rsidRPr="00321EDB">
        <w:rPr>
          <w:rFonts w:asciiTheme="majorHAnsi" w:hAnsiTheme="majorHAnsi"/>
          <w:color w:val="000000"/>
        </w:rPr>
        <w:t xml:space="preserve"> </w:t>
      </w:r>
      <w:r w:rsidRPr="00321EDB">
        <w:rPr>
          <w:rFonts w:asciiTheme="majorHAnsi" w:hAnsiTheme="majorHAnsi"/>
          <w:i/>
          <w:iCs/>
          <w:color w:val="000000"/>
        </w:rPr>
        <w:t xml:space="preserve">CAP Policy Analysis, </w:t>
      </w:r>
      <w:r w:rsidRPr="00321EDB">
        <w:rPr>
          <w:rFonts w:asciiTheme="majorHAnsi" w:hAnsiTheme="majorHAnsi"/>
          <w:color w:val="000000"/>
        </w:rPr>
        <w:t xml:space="preserve">no. 2., 2008, pp. 3-45. </w:t>
      </w:r>
    </w:p>
    <w:p w:rsidR="00415A6C" w:rsidRPr="00472250" w:rsidRDefault="00AD5062" w:rsidP="00940525">
      <w:pPr>
        <w:pStyle w:val="2"/>
        <w:shd w:val="clear" w:color="auto" w:fill="FFFFFF"/>
        <w:jc w:val="both"/>
        <w:rPr>
          <w:rFonts w:ascii="Arial Narrow" w:hAnsi="Arial Narrow" w:cs="Arial"/>
          <w:b w:val="0"/>
          <w:color w:val="000000" w:themeColor="text1"/>
          <w:sz w:val="24"/>
          <w:szCs w:val="24"/>
          <w:lang w:val="en-US"/>
        </w:rPr>
      </w:pPr>
      <w:hyperlink r:id="rId7" w:history="1">
        <w:proofErr w:type="spellStart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>Müller-Brandeck-Bocquet</w:t>
        </w:r>
        <w:proofErr w:type="spellEnd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 xml:space="preserve">, G. &amp; C. </w:t>
        </w:r>
        <w:proofErr w:type="spellStart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>Rüger</w:t>
        </w:r>
        <w:proofErr w:type="spellEnd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 xml:space="preserve"> (eds.) (2012) </w:t>
        </w:r>
        <w:proofErr w:type="gramStart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>The</w:t>
        </w:r>
        <w:proofErr w:type="gramEnd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 xml:space="preserve"> High Representative for the EU Foreign and Security Policy: Review and Prospects, Baden-Baden, </w:t>
        </w:r>
        <w:proofErr w:type="spellStart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>Nomos</w:t>
        </w:r>
        <w:proofErr w:type="spellEnd"/>
        <w:r w:rsidR="00415A6C" w:rsidRPr="00472250">
          <w:rPr>
            <w:rFonts w:cs="Arial"/>
            <w:b w:val="0"/>
            <w:color w:val="000000" w:themeColor="text1"/>
            <w:sz w:val="24"/>
            <w:szCs w:val="24"/>
            <w:lang w:val="en-US"/>
          </w:rPr>
          <w:t>.</w:t>
        </w:r>
      </w:hyperlink>
    </w:p>
    <w:p w:rsidR="008F35B9" w:rsidRPr="00774F3C" w:rsidRDefault="008F35B9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415A6C" w:rsidRPr="00940525" w:rsidRDefault="00415A6C" w:rsidP="00940525">
      <w:pPr>
        <w:pStyle w:val="a3"/>
        <w:numPr>
          <w:ilvl w:val="0"/>
          <w:numId w:val="9"/>
        </w:numPr>
        <w:shd w:val="clear" w:color="auto" w:fill="F5F5F5"/>
        <w:ind w:left="0" w:firstLine="0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Ο Διπλωματικός Ρόλος</w:t>
      </w:r>
      <w:r w:rsidR="001D3495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 w:rsidRPr="00940525">
        <w:rPr>
          <w:rStyle w:val="hps"/>
          <w:rFonts w:asciiTheme="majorHAnsi" w:hAnsiTheme="majorHAnsi"/>
          <w:b/>
          <w:color w:val="222222"/>
          <w:lang w:val="el-GR"/>
        </w:rPr>
        <w:t>του Προέδρου του Ευρωπαϊκού Συμβουλίου</w:t>
      </w:r>
    </w:p>
    <w:p w:rsidR="00E769BC" w:rsidRPr="001D3495" w:rsidRDefault="00E769BC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l-GR"/>
        </w:rPr>
      </w:pPr>
    </w:p>
    <w:p w:rsidR="00415A6C" w:rsidRPr="00415A6C" w:rsidRDefault="00E769BC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  <w:r>
        <w:rPr>
          <w:rFonts w:asciiTheme="majorHAnsi" w:hAnsiTheme="majorHAnsi" w:cs="Tahoma"/>
          <w:lang w:val="en-US"/>
        </w:rPr>
        <w:t>*</w:t>
      </w:r>
      <w:proofErr w:type="spellStart"/>
      <w:r w:rsidR="00415A6C" w:rsidRPr="00774F3C">
        <w:rPr>
          <w:rFonts w:asciiTheme="majorHAnsi" w:hAnsiTheme="majorHAnsi" w:cs="Tahoma"/>
          <w:lang w:val="en-US"/>
        </w:rPr>
        <w:t>Mahncke</w:t>
      </w:r>
      <w:proofErr w:type="spellEnd"/>
      <w:r w:rsidR="00415A6C"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="00415A6C" w:rsidRPr="00774F3C">
        <w:rPr>
          <w:rFonts w:asciiTheme="majorHAnsi" w:hAnsiTheme="majorHAnsi" w:cs="Tahoma"/>
          <w:lang w:val="en-US"/>
        </w:rPr>
        <w:t>Gstohl</w:t>
      </w:r>
      <w:proofErr w:type="spellEnd"/>
      <w:r w:rsidR="00415A6C" w:rsidRPr="00774F3C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="00415A6C" w:rsidRPr="00774F3C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="00415A6C" w:rsidRPr="00774F3C">
        <w:rPr>
          <w:rFonts w:asciiTheme="majorHAnsi" w:hAnsiTheme="majorHAnsi" w:cs="Tahoma"/>
          <w:lang w:val="en-US"/>
        </w:rPr>
        <w:t xml:space="preserve">) </w:t>
      </w:r>
      <w:r w:rsidR="00415A6C" w:rsidRPr="00774F3C">
        <w:rPr>
          <w:rFonts w:asciiTheme="majorHAnsi" w:hAnsiTheme="majorHAnsi" w:cs="Tahoma"/>
          <w:i/>
          <w:lang w:val="en-US"/>
        </w:rPr>
        <w:t>European Union Diplomacy</w:t>
      </w:r>
      <w:r w:rsidR="00415A6C" w:rsidRPr="00774F3C">
        <w:rPr>
          <w:rFonts w:asciiTheme="majorHAnsi" w:hAnsiTheme="majorHAnsi" w:cs="Tahoma"/>
          <w:lang w:val="en-US"/>
        </w:rPr>
        <w:t xml:space="preserve"> (Brussels: Peter Lang, 2012)</w:t>
      </w:r>
      <w:r w:rsidR="00415A6C">
        <w:rPr>
          <w:rFonts w:asciiTheme="majorHAnsi" w:hAnsiTheme="majorHAnsi" w:cs="Tahoma"/>
          <w:i/>
          <w:iCs/>
          <w:lang w:val="en-US"/>
        </w:rPr>
        <w:t xml:space="preserve">, </w:t>
      </w:r>
      <w:r w:rsidR="00415A6C">
        <w:rPr>
          <w:rFonts w:asciiTheme="majorHAnsi" w:hAnsiTheme="majorHAnsi" w:cs="Tahoma"/>
          <w:i/>
          <w:iCs/>
          <w:lang w:val="en-IE"/>
        </w:rPr>
        <w:t>pp. 102</w:t>
      </w:r>
      <w:r w:rsidR="00415A6C" w:rsidRPr="00415A6C">
        <w:rPr>
          <w:rFonts w:asciiTheme="majorHAnsi" w:hAnsiTheme="majorHAnsi" w:cs="Tahoma"/>
          <w:i/>
          <w:iCs/>
          <w:lang w:val="en-US"/>
        </w:rPr>
        <w:t>-108</w:t>
      </w:r>
      <w:r w:rsidR="001D3495">
        <w:rPr>
          <w:rFonts w:asciiTheme="majorHAnsi" w:hAnsiTheme="majorHAnsi" w:cs="Tahoma"/>
          <w:i/>
          <w:iCs/>
          <w:lang w:val="en-US"/>
        </w:rPr>
        <w:t xml:space="preserve"> (</w:t>
      </w:r>
      <w:r w:rsidR="001D3495">
        <w:rPr>
          <w:rFonts w:asciiTheme="majorHAnsi" w:hAnsiTheme="majorHAnsi" w:cs="Tahoma"/>
          <w:i/>
          <w:iCs/>
          <w:lang w:val="el-GR"/>
        </w:rPr>
        <w:t>διανέμεται</w:t>
      </w:r>
      <w:r w:rsidR="001D3495" w:rsidRPr="001D3495">
        <w:rPr>
          <w:rFonts w:asciiTheme="majorHAnsi" w:hAnsiTheme="majorHAnsi" w:cs="Tahoma"/>
          <w:i/>
          <w:iCs/>
          <w:lang w:val="en-US"/>
        </w:rPr>
        <w:t>)</w:t>
      </w:r>
      <w:r w:rsidR="00415A6C">
        <w:rPr>
          <w:rFonts w:asciiTheme="majorHAnsi" w:hAnsiTheme="majorHAnsi" w:cs="Tahoma"/>
          <w:i/>
          <w:iCs/>
          <w:lang w:val="en-IE"/>
        </w:rPr>
        <w:t>.</w:t>
      </w:r>
    </w:p>
    <w:p w:rsidR="00415A6C" w:rsidRPr="00415A6C" w:rsidRDefault="00415A6C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E769BC" w:rsidRDefault="00E769BC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415A6C" w:rsidRPr="00415A6C" w:rsidRDefault="00940525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4</w:t>
      </w:r>
      <w:r w:rsidR="0074106F" w:rsidRPr="0074106F">
        <w:rPr>
          <w:rStyle w:val="hps"/>
          <w:rFonts w:asciiTheme="majorHAnsi" w:hAnsiTheme="majorHAnsi"/>
          <w:b/>
          <w:color w:val="222222"/>
          <w:lang w:val="el-GR"/>
        </w:rPr>
        <w:t>.</w:t>
      </w:r>
      <w:r w:rsidRPr="00940525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 w:rsidR="00415A6C">
        <w:rPr>
          <w:rStyle w:val="hps"/>
          <w:rFonts w:asciiTheme="majorHAnsi" w:hAnsiTheme="majorHAnsi"/>
          <w:b/>
          <w:color w:val="222222"/>
          <w:lang w:val="el-GR"/>
        </w:rPr>
        <w:t>Η Ευρωπαϊκή Υπηρεσία Εξωτερικής Δράσης (ΕΥΕΔ)</w:t>
      </w:r>
    </w:p>
    <w:p w:rsidR="00415A6C" w:rsidRPr="00EC4F30" w:rsidRDefault="00EC4F30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lang w:val="el-GR"/>
        </w:rPr>
      </w:pPr>
      <w:r w:rsidRPr="00EC4F30">
        <w:rPr>
          <w:rStyle w:val="hps"/>
          <w:rFonts w:asciiTheme="majorHAnsi" w:hAnsiTheme="majorHAnsi"/>
          <w:color w:val="222222"/>
          <w:lang w:val="el-GR"/>
        </w:rPr>
        <w:t>(</w:t>
      </w:r>
      <w:r w:rsidR="00B66CE9" w:rsidRPr="00EC4F30">
        <w:rPr>
          <w:rStyle w:val="hps"/>
          <w:rFonts w:asciiTheme="majorHAnsi" w:hAnsiTheme="majorHAnsi"/>
          <w:color w:val="222222"/>
          <w:lang w:val="el-GR"/>
        </w:rPr>
        <w:t>Η δομή και η θεσμική εξέλιξή της, η άσκηση διπλωματικής δράσης και η συνέργεια με άλλα θεσμικά όργανα της ΕΕ</w:t>
      </w:r>
      <w:r w:rsidRPr="00EC4F30">
        <w:rPr>
          <w:rStyle w:val="hps"/>
          <w:rFonts w:asciiTheme="majorHAnsi" w:hAnsiTheme="majorHAnsi"/>
          <w:color w:val="222222"/>
          <w:lang w:val="el-GR"/>
        </w:rPr>
        <w:t>)</w:t>
      </w:r>
      <w:r w:rsidR="00B66CE9" w:rsidRPr="00EC4F30">
        <w:rPr>
          <w:rStyle w:val="hps"/>
          <w:rFonts w:asciiTheme="majorHAnsi" w:hAnsiTheme="majorHAnsi"/>
          <w:color w:val="222222"/>
          <w:lang w:val="el-GR"/>
        </w:rPr>
        <w:t>.</w:t>
      </w:r>
    </w:p>
    <w:p w:rsidR="00940525" w:rsidRDefault="00940525" w:rsidP="00940525">
      <w:pPr>
        <w:pStyle w:val="a3"/>
        <w:ind w:left="0"/>
        <w:jc w:val="both"/>
        <w:rPr>
          <w:rFonts w:asciiTheme="majorHAnsi" w:hAnsiTheme="majorHAnsi" w:cs="Tahoma"/>
          <w:lang w:val="el-GR"/>
        </w:rPr>
      </w:pPr>
    </w:p>
    <w:p w:rsidR="000E734B" w:rsidRPr="000E734B" w:rsidRDefault="000E734B" w:rsidP="00940525">
      <w:pPr>
        <w:pStyle w:val="a3"/>
        <w:ind w:left="0"/>
        <w:jc w:val="both"/>
        <w:rPr>
          <w:rFonts w:asciiTheme="majorHAnsi" w:hAnsiTheme="majorHAnsi" w:cs="Tahoma"/>
          <w:lang w:val="en-IE"/>
        </w:rPr>
      </w:pPr>
      <w:proofErr w:type="spellStart"/>
      <w:r>
        <w:rPr>
          <w:rFonts w:asciiTheme="majorHAnsi" w:hAnsiTheme="majorHAnsi" w:cs="Tahoma"/>
          <w:lang w:val="en-IE"/>
        </w:rPr>
        <w:t>Gianniou</w:t>
      </w:r>
      <w:proofErr w:type="spellEnd"/>
      <w:r>
        <w:rPr>
          <w:rFonts w:asciiTheme="majorHAnsi" w:hAnsiTheme="majorHAnsi" w:cs="Tahoma"/>
          <w:lang w:val="en-IE"/>
        </w:rPr>
        <w:t xml:space="preserve">, M and </w:t>
      </w:r>
      <w:proofErr w:type="spellStart"/>
      <w:r>
        <w:rPr>
          <w:rFonts w:asciiTheme="majorHAnsi" w:hAnsiTheme="majorHAnsi" w:cs="Tahoma"/>
          <w:lang w:val="en-IE"/>
        </w:rPr>
        <w:t>Galariotis</w:t>
      </w:r>
      <w:proofErr w:type="spellEnd"/>
      <w:r>
        <w:rPr>
          <w:rFonts w:asciiTheme="majorHAnsi" w:hAnsiTheme="majorHAnsi" w:cs="Tahoma"/>
          <w:lang w:val="en-IE"/>
        </w:rPr>
        <w:t>, J., ‘The European External Action Service: Toward a More Coherent EU Foreign Policy?</w:t>
      </w:r>
      <w:proofErr w:type="gramStart"/>
      <w:r>
        <w:rPr>
          <w:rFonts w:asciiTheme="majorHAnsi" w:hAnsiTheme="majorHAnsi" w:cs="Tahoma"/>
          <w:lang w:val="en-IE"/>
        </w:rPr>
        <w:t>’,</w:t>
      </w:r>
      <w:proofErr w:type="gramEnd"/>
      <w:r>
        <w:rPr>
          <w:rFonts w:asciiTheme="majorHAnsi" w:hAnsiTheme="majorHAnsi" w:cs="Tahoma"/>
          <w:lang w:val="en-IE"/>
        </w:rPr>
        <w:t xml:space="preserve"> (</w:t>
      </w:r>
      <w:r>
        <w:rPr>
          <w:rFonts w:asciiTheme="majorHAnsi" w:hAnsiTheme="majorHAnsi" w:cs="Tahoma"/>
          <w:lang w:val="el-GR"/>
        </w:rPr>
        <w:t>αδημοσίευτη</w:t>
      </w:r>
      <w:r w:rsidRPr="000E734B">
        <w:rPr>
          <w:rFonts w:asciiTheme="majorHAnsi" w:hAnsiTheme="majorHAnsi" w:cs="Tahoma"/>
          <w:lang w:val="en-US"/>
        </w:rPr>
        <w:t xml:space="preserve"> </w:t>
      </w:r>
      <w:r>
        <w:rPr>
          <w:rFonts w:asciiTheme="majorHAnsi" w:hAnsiTheme="majorHAnsi" w:cs="Tahoma"/>
          <w:lang w:val="el-GR"/>
        </w:rPr>
        <w:t>μελέτη</w:t>
      </w:r>
      <w:r>
        <w:rPr>
          <w:rFonts w:asciiTheme="majorHAnsi" w:hAnsiTheme="majorHAnsi" w:cs="Tahoma"/>
          <w:lang w:val="en-US"/>
        </w:rPr>
        <w:t>,</w:t>
      </w:r>
      <w:r w:rsidRPr="000E734B">
        <w:rPr>
          <w:rFonts w:asciiTheme="majorHAnsi" w:hAnsiTheme="majorHAnsi" w:cs="Tahoma"/>
          <w:lang w:val="en-US"/>
        </w:rPr>
        <w:t xml:space="preserve"> </w:t>
      </w:r>
      <w:r w:rsidRPr="000E734B">
        <w:rPr>
          <w:rFonts w:asciiTheme="majorHAnsi" w:hAnsiTheme="majorHAnsi" w:cs="Tahoma"/>
          <w:b/>
          <w:lang w:val="el-GR"/>
        </w:rPr>
        <w:t>διατίθεται</w:t>
      </w:r>
      <w:r w:rsidRPr="000E734B">
        <w:rPr>
          <w:rFonts w:asciiTheme="majorHAnsi" w:hAnsiTheme="majorHAnsi" w:cs="Tahoma"/>
          <w:b/>
          <w:lang w:val="en-US"/>
        </w:rPr>
        <w:t xml:space="preserve"> </w:t>
      </w:r>
      <w:r w:rsidRPr="000E734B">
        <w:rPr>
          <w:rFonts w:asciiTheme="majorHAnsi" w:hAnsiTheme="majorHAnsi" w:cs="Tahoma"/>
          <w:b/>
          <w:lang w:val="el-GR"/>
        </w:rPr>
        <w:t>στο</w:t>
      </w:r>
      <w:r w:rsidRPr="000E734B">
        <w:rPr>
          <w:rFonts w:asciiTheme="majorHAnsi" w:hAnsiTheme="majorHAnsi" w:cs="Tahoma"/>
          <w:b/>
          <w:lang w:val="en-US"/>
        </w:rPr>
        <w:t xml:space="preserve"> </w:t>
      </w:r>
      <w:r w:rsidRPr="000E734B">
        <w:rPr>
          <w:rFonts w:asciiTheme="majorHAnsi" w:hAnsiTheme="majorHAnsi" w:cs="Tahoma"/>
          <w:b/>
          <w:lang w:val="en-IE"/>
        </w:rPr>
        <w:t>e-class</w:t>
      </w:r>
      <w:r>
        <w:rPr>
          <w:rFonts w:asciiTheme="majorHAnsi" w:hAnsiTheme="majorHAnsi" w:cs="Tahoma"/>
          <w:lang w:val="en-IE"/>
        </w:rPr>
        <w:t>)</w:t>
      </w:r>
      <w:r>
        <w:rPr>
          <w:rFonts w:asciiTheme="majorHAnsi" w:hAnsiTheme="majorHAnsi" w:cs="Tahoma"/>
          <w:lang w:val="en-US"/>
        </w:rPr>
        <w:t>.</w:t>
      </w:r>
    </w:p>
    <w:p w:rsidR="000E734B" w:rsidRPr="000E734B" w:rsidRDefault="000E734B" w:rsidP="00940525">
      <w:pPr>
        <w:pStyle w:val="a3"/>
        <w:ind w:left="0"/>
        <w:jc w:val="both"/>
        <w:rPr>
          <w:rFonts w:asciiTheme="majorHAnsi" w:hAnsiTheme="majorHAnsi" w:cs="Tahoma"/>
          <w:lang w:val="en-US"/>
        </w:rPr>
      </w:pPr>
    </w:p>
    <w:p w:rsidR="00B66CE9" w:rsidRPr="00CA1C59" w:rsidRDefault="00B66CE9" w:rsidP="00940525">
      <w:pPr>
        <w:pStyle w:val="a3"/>
        <w:ind w:left="0"/>
        <w:jc w:val="both"/>
        <w:rPr>
          <w:rFonts w:asciiTheme="majorHAnsi" w:hAnsiTheme="majorHAnsi" w:cs="Tahoma"/>
          <w:i/>
          <w:iCs/>
          <w:lang w:val="en-US"/>
        </w:rPr>
      </w:pPr>
      <w:r w:rsidRPr="00B66CE9">
        <w:rPr>
          <w:rFonts w:asciiTheme="majorHAnsi" w:hAnsiTheme="majorHAnsi" w:cs="Tahoma"/>
          <w:lang w:val="en-US"/>
        </w:rPr>
        <w:t>*</w:t>
      </w:r>
      <w:proofErr w:type="spellStart"/>
      <w:r w:rsidRPr="00774F3C">
        <w:rPr>
          <w:rFonts w:asciiTheme="majorHAnsi" w:hAnsiTheme="majorHAnsi" w:cs="Tahoma"/>
          <w:lang w:val="en-US"/>
        </w:rPr>
        <w:t>Mahncke</w:t>
      </w:r>
      <w:proofErr w:type="spellEnd"/>
      <w:r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Pr="00774F3C">
        <w:rPr>
          <w:rFonts w:asciiTheme="majorHAnsi" w:hAnsiTheme="majorHAnsi" w:cs="Tahoma"/>
          <w:lang w:val="en-US"/>
        </w:rPr>
        <w:t>Gstohl</w:t>
      </w:r>
      <w:proofErr w:type="spellEnd"/>
      <w:r w:rsidRPr="00774F3C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Pr="00774F3C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Pr="00774F3C">
        <w:rPr>
          <w:rFonts w:asciiTheme="majorHAnsi" w:hAnsiTheme="majorHAnsi" w:cs="Tahoma"/>
          <w:lang w:val="en-US"/>
        </w:rPr>
        <w:t xml:space="preserve">) </w:t>
      </w:r>
      <w:r w:rsidRPr="00774F3C">
        <w:rPr>
          <w:rFonts w:asciiTheme="majorHAnsi" w:hAnsiTheme="majorHAnsi" w:cs="Tahoma"/>
          <w:i/>
          <w:lang w:val="en-US"/>
        </w:rPr>
        <w:t>European Union Diplomacy</w:t>
      </w:r>
      <w:r w:rsidRPr="00774F3C">
        <w:rPr>
          <w:rFonts w:asciiTheme="majorHAnsi" w:hAnsiTheme="majorHAnsi" w:cs="Tahoma"/>
          <w:lang w:val="en-US"/>
        </w:rPr>
        <w:t xml:space="preserve"> (Brussels: Peter Lang, 2012)</w:t>
      </w:r>
      <w:r w:rsidRPr="00B66CE9">
        <w:rPr>
          <w:rFonts w:asciiTheme="majorHAnsi" w:hAnsiTheme="majorHAnsi" w:cs="Tahoma"/>
          <w:i/>
          <w:iCs/>
          <w:lang w:val="en-US"/>
        </w:rPr>
        <w:t>,</w:t>
      </w:r>
      <w:r>
        <w:rPr>
          <w:rFonts w:asciiTheme="majorHAnsi" w:hAnsiTheme="majorHAnsi" w:cs="Tahoma"/>
          <w:i/>
          <w:iCs/>
          <w:lang w:val="en-US"/>
        </w:rPr>
        <w:t xml:space="preserve"> </w:t>
      </w:r>
      <w:r>
        <w:rPr>
          <w:rFonts w:asciiTheme="majorHAnsi" w:hAnsiTheme="majorHAnsi" w:cs="Tahoma"/>
          <w:i/>
          <w:iCs/>
          <w:lang w:val="en-IE"/>
        </w:rPr>
        <w:t>pp</w:t>
      </w:r>
      <w:r w:rsidRPr="00B66CE9">
        <w:rPr>
          <w:rFonts w:asciiTheme="majorHAnsi" w:hAnsiTheme="majorHAnsi" w:cs="Tahoma"/>
          <w:i/>
          <w:iCs/>
          <w:lang w:val="en-US"/>
        </w:rPr>
        <w:t>. 63-85</w:t>
      </w:r>
      <w:r w:rsidR="00CA1C59" w:rsidRPr="00CA1C59">
        <w:rPr>
          <w:rFonts w:asciiTheme="majorHAnsi" w:hAnsiTheme="majorHAnsi" w:cs="Tahoma"/>
          <w:i/>
          <w:iCs/>
          <w:lang w:val="en-US"/>
        </w:rPr>
        <w:t xml:space="preserve"> (</w:t>
      </w:r>
      <w:r w:rsidR="00CA1C59">
        <w:rPr>
          <w:rFonts w:asciiTheme="majorHAnsi" w:hAnsiTheme="majorHAnsi" w:cs="Tahoma"/>
          <w:i/>
          <w:iCs/>
          <w:lang w:val="el-GR"/>
        </w:rPr>
        <w:t>διανέμεται</w:t>
      </w:r>
      <w:r w:rsidR="00CA1C59" w:rsidRPr="00CA1C59">
        <w:rPr>
          <w:rFonts w:asciiTheme="majorHAnsi" w:hAnsiTheme="majorHAnsi" w:cs="Tahoma"/>
          <w:i/>
          <w:iCs/>
          <w:lang w:val="en-US"/>
        </w:rPr>
        <w:t>)</w:t>
      </w:r>
    </w:p>
    <w:p w:rsidR="00415A6C" w:rsidRPr="00B66CE9" w:rsidRDefault="00415A6C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415A6C" w:rsidRPr="0074106F" w:rsidRDefault="00F4791C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u w:val="single"/>
          <w:lang w:val="en-US"/>
        </w:rPr>
      </w:pPr>
      <w:r w:rsidRPr="00D35168">
        <w:rPr>
          <w:rStyle w:val="hps"/>
          <w:rFonts w:asciiTheme="majorHAnsi" w:hAnsiTheme="majorHAnsi"/>
          <w:color w:val="222222"/>
          <w:u w:val="single"/>
          <w:lang w:val="el-GR"/>
        </w:rPr>
        <w:t>Συμπληρωματική</w:t>
      </w:r>
      <w:r w:rsidRPr="0074106F">
        <w:rPr>
          <w:rStyle w:val="hps"/>
          <w:rFonts w:asciiTheme="majorHAnsi" w:hAnsiTheme="majorHAnsi"/>
          <w:color w:val="222222"/>
          <w:u w:val="single"/>
          <w:lang w:val="en-US"/>
        </w:rPr>
        <w:t xml:space="preserve"> </w:t>
      </w:r>
      <w:r w:rsidRPr="00D35168">
        <w:rPr>
          <w:rStyle w:val="hps"/>
          <w:rFonts w:asciiTheme="majorHAnsi" w:hAnsiTheme="majorHAnsi"/>
          <w:color w:val="222222"/>
          <w:u w:val="single"/>
          <w:lang w:val="el-GR"/>
        </w:rPr>
        <w:t>Βιβλιογραφία</w:t>
      </w:r>
    </w:p>
    <w:p w:rsidR="005A2042" w:rsidRPr="00B80E5A" w:rsidRDefault="005A2042" w:rsidP="00940525">
      <w:pPr>
        <w:jc w:val="both"/>
        <w:rPr>
          <w:rFonts w:asciiTheme="majorHAnsi" w:hAnsiTheme="majorHAnsi" w:cs="Calibri"/>
          <w:lang w:val="en-US"/>
        </w:rPr>
      </w:pPr>
      <w:r w:rsidRPr="00D4687D">
        <w:rPr>
          <w:rFonts w:asciiTheme="majorHAnsi" w:hAnsiTheme="majorHAnsi" w:cs="Calibri"/>
        </w:rPr>
        <w:t xml:space="preserve">Duke, S. (2009) ‘Providing for European-Level Diplomacy after Lisbon: The Case of the European External Action Service’, </w:t>
      </w:r>
      <w:proofErr w:type="gramStart"/>
      <w:r w:rsidRPr="00D4687D">
        <w:rPr>
          <w:rFonts w:asciiTheme="majorHAnsi" w:hAnsiTheme="majorHAnsi" w:cs="Calibri"/>
          <w:i/>
          <w:iCs/>
        </w:rPr>
        <w:t>The</w:t>
      </w:r>
      <w:proofErr w:type="gramEnd"/>
      <w:r w:rsidRPr="00D4687D">
        <w:rPr>
          <w:rFonts w:asciiTheme="majorHAnsi" w:hAnsiTheme="majorHAnsi" w:cs="Calibri"/>
          <w:i/>
          <w:iCs/>
        </w:rPr>
        <w:t xml:space="preserve"> Hague Journal of Diplomacy</w:t>
      </w:r>
      <w:r w:rsidRPr="00D4687D">
        <w:rPr>
          <w:rFonts w:asciiTheme="majorHAnsi" w:hAnsiTheme="majorHAnsi" w:cs="Calibri"/>
        </w:rPr>
        <w:t>, 4: 211-33.</w:t>
      </w:r>
      <w:r w:rsidRPr="005A2042">
        <w:rPr>
          <w:rFonts w:asciiTheme="majorHAnsi" w:hAnsiTheme="majorHAnsi" w:cs="Calibri"/>
          <w:lang w:val="en-US"/>
        </w:rPr>
        <w:t xml:space="preserve"> (</w:t>
      </w:r>
      <w:proofErr w:type="gramStart"/>
      <w:r w:rsidRPr="005A2042">
        <w:rPr>
          <w:rFonts w:asciiTheme="majorHAnsi" w:hAnsiTheme="majorHAnsi" w:cs="Calibri"/>
          <w:b/>
          <w:lang w:val="en-IE"/>
        </w:rPr>
        <w:t>e-class</w:t>
      </w:r>
      <w:proofErr w:type="gramEnd"/>
      <w:r w:rsidRPr="005A2042">
        <w:rPr>
          <w:rFonts w:asciiTheme="majorHAnsi" w:hAnsiTheme="majorHAnsi" w:cs="Calibri"/>
          <w:b/>
          <w:lang w:val="en-IE"/>
        </w:rPr>
        <w:t xml:space="preserve"> document</w:t>
      </w:r>
      <w:r>
        <w:rPr>
          <w:rFonts w:asciiTheme="majorHAnsi" w:hAnsiTheme="majorHAnsi" w:cs="Calibri"/>
          <w:lang w:val="en-IE"/>
        </w:rPr>
        <w:t>)</w:t>
      </w:r>
    </w:p>
    <w:bookmarkStart w:id="0" w:name="_Toc389594036"/>
    <w:p w:rsidR="005A2042" w:rsidRPr="00524DE6" w:rsidRDefault="00AD5062" w:rsidP="00940525">
      <w:pPr>
        <w:pStyle w:val="2"/>
        <w:shd w:val="clear" w:color="auto" w:fill="FFFFFF"/>
        <w:jc w:val="both"/>
        <w:rPr>
          <w:rFonts w:ascii="Arial Narrow" w:hAnsi="Arial Narrow" w:cs="Arial"/>
          <w:b w:val="0"/>
          <w:color w:val="000000" w:themeColor="text1"/>
          <w:sz w:val="24"/>
          <w:szCs w:val="24"/>
          <w:lang w:val="en-US"/>
        </w:rPr>
      </w:pPr>
      <w:r w:rsidRPr="00D4687D">
        <w:rPr>
          <w:rFonts w:cs="Arial"/>
          <w:b w:val="0"/>
          <w:color w:val="000000" w:themeColor="text1"/>
          <w:sz w:val="24"/>
          <w:szCs w:val="24"/>
        </w:rPr>
        <w:fldChar w:fldCharType="begin"/>
      </w:r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instrText xml:space="preserve"> HYPERLINK "http://www.eufp.eu/balfour-r-carta-c-raik-k-eds-european-external-action-service-and-national-foreign-ministries" </w:instrText>
      </w:r>
      <w:r w:rsidRPr="00D4687D">
        <w:rPr>
          <w:rFonts w:cs="Arial"/>
          <w:b w:val="0"/>
          <w:color w:val="000000" w:themeColor="text1"/>
          <w:sz w:val="24"/>
          <w:szCs w:val="24"/>
        </w:rPr>
        <w:fldChar w:fldCharType="separate"/>
      </w:r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Balfour, R., </w:t>
      </w:r>
      <w:proofErr w:type="spellStart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Carta</w:t>
      </w:r>
      <w:proofErr w:type="spellEnd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, C. &amp; </w:t>
      </w:r>
      <w:proofErr w:type="spellStart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Raik</w:t>
      </w:r>
      <w:proofErr w:type="spellEnd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, K. (</w:t>
      </w:r>
      <w:proofErr w:type="spellStart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eds</w:t>
      </w:r>
      <w:proofErr w:type="spellEnd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) (2015</w:t>
      </w:r>
      <w:proofErr w:type="gramStart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)The</w:t>
      </w:r>
      <w:proofErr w:type="gramEnd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 European External Action Service and National Foreign Ministries: Convergence or Divergence?, London, </w:t>
      </w:r>
      <w:proofErr w:type="spellStart"/>
      <w:r w:rsidR="005A2042" w:rsidRPr="00D4687D">
        <w:rPr>
          <w:rFonts w:cs="Arial"/>
          <w:b w:val="0"/>
          <w:color w:val="000000" w:themeColor="text1"/>
          <w:sz w:val="24"/>
          <w:szCs w:val="24"/>
          <w:lang w:val="en-US"/>
        </w:rPr>
        <w:t>Ashgate</w:t>
      </w:r>
      <w:proofErr w:type="spellEnd"/>
      <w:r w:rsidRPr="00D4687D">
        <w:rPr>
          <w:rFonts w:cs="Arial"/>
          <w:b w:val="0"/>
          <w:color w:val="000000" w:themeColor="text1"/>
          <w:sz w:val="24"/>
          <w:szCs w:val="24"/>
        </w:rPr>
        <w:fldChar w:fldCharType="end"/>
      </w:r>
      <w:r w:rsidR="005A2042" w:rsidRPr="00D4687D">
        <w:rPr>
          <w:rFonts w:cs="Arial"/>
          <w:b w:val="0"/>
          <w:color w:val="000000" w:themeColor="text1"/>
          <w:sz w:val="24"/>
          <w:szCs w:val="24"/>
          <w:lang w:val="en-IE"/>
        </w:rPr>
        <w:t>.</w:t>
      </w:r>
      <w:bookmarkStart w:id="1" w:name="_Toc389594033"/>
      <w:bookmarkEnd w:id="0"/>
    </w:p>
    <w:bookmarkEnd w:id="1"/>
    <w:p w:rsidR="00F4791C" w:rsidRPr="00524DE6" w:rsidRDefault="00F4791C" w:rsidP="00940525">
      <w:pPr>
        <w:shd w:val="clear" w:color="auto" w:fill="F5F5F5"/>
        <w:jc w:val="both"/>
        <w:textAlignment w:val="top"/>
        <w:rPr>
          <w:rFonts w:asciiTheme="majorHAnsi" w:hAnsiTheme="majorHAnsi"/>
          <w:color w:val="000000"/>
          <w:lang w:val="en-US"/>
        </w:rPr>
      </w:pPr>
    </w:p>
    <w:p w:rsidR="00415A6C" w:rsidRPr="00B66CE9" w:rsidRDefault="005A2042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  <w:r w:rsidRPr="002E7129">
        <w:rPr>
          <w:rFonts w:asciiTheme="majorHAnsi" w:hAnsiTheme="majorHAnsi"/>
          <w:color w:val="000000"/>
        </w:rPr>
        <w:t>Duke, Simon, ‘The European External Action Service: Antidote against Incoherence?</w:t>
      </w:r>
      <w:proofErr w:type="gramStart"/>
      <w:r w:rsidRPr="002E7129">
        <w:rPr>
          <w:rFonts w:asciiTheme="majorHAnsi" w:hAnsiTheme="majorHAnsi"/>
          <w:color w:val="000000"/>
        </w:rPr>
        <w:t>’,</w:t>
      </w:r>
      <w:proofErr w:type="gramEnd"/>
      <w:r w:rsidRPr="002E7129">
        <w:rPr>
          <w:rFonts w:asciiTheme="majorHAnsi" w:hAnsiTheme="majorHAnsi"/>
          <w:color w:val="000000"/>
        </w:rPr>
        <w:t xml:space="preserve"> </w:t>
      </w:r>
      <w:r w:rsidRPr="002E7129">
        <w:rPr>
          <w:rFonts w:asciiTheme="majorHAnsi" w:hAnsiTheme="majorHAnsi"/>
          <w:i/>
          <w:iCs/>
          <w:color w:val="000000"/>
        </w:rPr>
        <w:t xml:space="preserve">European Foreign Affairs Review, </w:t>
      </w:r>
      <w:r w:rsidRPr="002E7129">
        <w:rPr>
          <w:rFonts w:asciiTheme="majorHAnsi" w:hAnsiTheme="majorHAnsi"/>
          <w:color w:val="000000"/>
        </w:rPr>
        <w:t>vol. 17, issue 1, 2012, pp. 45-68</w:t>
      </w:r>
    </w:p>
    <w:p w:rsidR="00524DE6" w:rsidRPr="00EC4F30" w:rsidRDefault="00524DE6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EC4F30" w:rsidRPr="00917417" w:rsidRDefault="00EC4F30" w:rsidP="00EC4F30">
      <w:pPr>
        <w:jc w:val="both"/>
        <w:rPr>
          <w:rFonts w:asciiTheme="majorHAnsi" w:hAnsiTheme="majorHAnsi"/>
        </w:rPr>
      </w:pPr>
      <w:proofErr w:type="spellStart"/>
      <w:r w:rsidRPr="00917417">
        <w:rPr>
          <w:rFonts w:asciiTheme="majorHAnsi" w:eastAsia="Calibri" w:hAnsiTheme="majorHAnsi"/>
        </w:rPr>
        <w:t>Vanhoonacker</w:t>
      </w:r>
      <w:proofErr w:type="spellEnd"/>
      <w:r w:rsidRPr="00917417">
        <w:rPr>
          <w:rFonts w:asciiTheme="majorHAnsi" w:eastAsia="Calibri" w:hAnsiTheme="majorHAnsi"/>
        </w:rPr>
        <w:t xml:space="preserve"> Sophie &amp; </w:t>
      </w:r>
      <w:proofErr w:type="spellStart"/>
      <w:r w:rsidRPr="00917417">
        <w:rPr>
          <w:rFonts w:asciiTheme="majorHAnsi" w:eastAsia="Calibri" w:hAnsiTheme="majorHAnsi"/>
        </w:rPr>
        <w:t>Pomorska</w:t>
      </w:r>
      <w:proofErr w:type="spellEnd"/>
      <w:r w:rsidRPr="00917417">
        <w:rPr>
          <w:rFonts w:asciiTheme="majorHAnsi" w:eastAsia="Calibri" w:hAnsiTheme="majorHAnsi"/>
        </w:rPr>
        <w:t xml:space="preserve"> Karolina (2013), The EEAS and agenda-setting in European foreign policy</w:t>
      </w:r>
      <w:proofErr w:type="gramStart"/>
      <w:r w:rsidRPr="00917417">
        <w:rPr>
          <w:rFonts w:asciiTheme="majorHAnsi" w:eastAsia="Calibri" w:hAnsiTheme="majorHAnsi"/>
        </w:rPr>
        <w:t>, ,</w:t>
      </w:r>
      <w:proofErr w:type="gramEnd"/>
      <w:r w:rsidRPr="00917417">
        <w:rPr>
          <w:rFonts w:asciiTheme="majorHAnsi" w:eastAsia="Calibri" w:hAnsiTheme="majorHAnsi"/>
        </w:rPr>
        <w:t xml:space="preserve"> </w:t>
      </w:r>
      <w:r w:rsidRPr="00917417">
        <w:rPr>
          <w:rFonts w:asciiTheme="majorHAnsi" w:eastAsia="Calibri" w:hAnsiTheme="majorHAnsi"/>
          <w:i/>
        </w:rPr>
        <w:t>Journal of European Public Policy</w:t>
      </w:r>
      <w:r w:rsidRPr="00917417">
        <w:rPr>
          <w:rFonts w:asciiTheme="majorHAnsi" w:eastAsia="Calibri" w:hAnsiTheme="majorHAnsi"/>
        </w:rPr>
        <w:t>, 20:9, 2013</w:t>
      </w:r>
    </w:p>
    <w:p w:rsidR="00524DE6" w:rsidRPr="00EC4F30" w:rsidRDefault="00524DE6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</w:rPr>
      </w:pPr>
    </w:p>
    <w:p w:rsidR="00524DE6" w:rsidRPr="00EC4F30" w:rsidRDefault="00524DE6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524DE6" w:rsidRPr="00940525" w:rsidRDefault="00EC4F30" w:rsidP="00940525">
      <w:pPr>
        <w:pStyle w:val="a3"/>
        <w:numPr>
          <w:ilvl w:val="0"/>
          <w:numId w:val="10"/>
        </w:numPr>
        <w:shd w:val="clear" w:color="auto" w:fill="F5F5F5"/>
        <w:ind w:left="0" w:firstLine="0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ΟΙ Ευρωπαϊκές Αντιπροσωπείες (</w:t>
      </w:r>
      <w:r w:rsidRPr="00940525">
        <w:rPr>
          <w:rStyle w:val="hps"/>
          <w:rFonts w:asciiTheme="majorHAnsi" w:hAnsiTheme="majorHAnsi"/>
          <w:b/>
          <w:color w:val="222222"/>
          <w:lang w:val="en-IE"/>
        </w:rPr>
        <w:t>EU</w:t>
      </w:r>
      <w:r w:rsidRPr="00940525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 w:rsidRPr="00940525">
        <w:rPr>
          <w:rStyle w:val="hps"/>
          <w:rFonts w:asciiTheme="majorHAnsi" w:hAnsiTheme="majorHAnsi"/>
          <w:b/>
          <w:color w:val="222222"/>
          <w:lang w:val="en-IE"/>
        </w:rPr>
        <w:t>Delegations</w:t>
      </w:r>
      <w:r w:rsidRPr="00940525">
        <w:rPr>
          <w:rStyle w:val="hps"/>
          <w:rFonts w:asciiTheme="majorHAnsi" w:hAnsiTheme="majorHAnsi"/>
          <w:b/>
          <w:color w:val="222222"/>
          <w:lang w:val="el-GR"/>
        </w:rPr>
        <w:t>)</w:t>
      </w:r>
    </w:p>
    <w:p w:rsidR="00491961" w:rsidRPr="001D3495" w:rsidRDefault="00491961" w:rsidP="00491961">
      <w:pPr>
        <w:pStyle w:val="a3"/>
        <w:jc w:val="both"/>
        <w:rPr>
          <w:rFonts w:ascii="Cambria" w:eastAsia="Calibri" w:hAnsi="Cambria"/>
          <w:lang w:val="el-GR"/>
        </w:rPr>
      </w:pPr>
    </w:p>
    <w:p w:rsidR="00491961" w:rsidRDefault="00E769BC" w:rsidP="00491961">
      <w:pPr>
        <w:pStyle w:val="a3"/>
        <w:ind w:left="0"/>
        <w:jc w:val="both"/>
        <w:rPr>
          <w:rFonts w:ascii="Cambria" w:eastAsia="Calibri" w:hAnsi="Cambria"/>
          <w:b/>
        </w:rPr>
      </w:pPr>
      <w:r>
        <w:rPr>
          <w:rFonts w:ascii="Cambria" w:eastAsia="Calibri" w:hAnsi="Cambria"/>
        </w:rPr>
        <w:t>*</w:t>
      </w:r>
      <w:proofErr w:type="spellStart"/>
      <w:r w:rsidR="00491961" w:rsidRPr="00491961">
        <w:rPr>
          <w:rFonts w:ascii="Cambria" w:eastAsia="Calibri" w:hAnsi="Cambria"/>
        </w:rPr>
        <w:t>Drieske</w:t>
      </w:r>
      <w:proofErr w:type="spellEnd"/>
      <w:r w:rsidR="00491961" w:rsidRPr="00491961">
        <w:rPr>
          <w:rFonts w:ascii="Cambria" w:eastAsia="Calibri" w:hAnsi="Cambria"/>
          <w:lang w:val="en-IE"/>
        </w:rPr>
        <w:t>n</w:t>
      </w:r>
      <w:r w:rsidR="00491961" w:rsidRPr="00491961">
        <w:rPr>
          <w:rFonts w:ascii="Cambria" w:eastAsia="Calibri" w:hAnsi="Cambria"/>
        </w:rPr>
        <w:t>s, E. (2012)</w:t>
      </w:r>
      <w:proofErr w:type="gramStart"/>
      <w:r w:rsidR="00491961" w:rsidRPr="00491961">
        <w:rPr>
          <w:rFonts w:ascii="Cambria" w:eastAsia="Calibri" w:hAnsi="Cambria"/>
        </w:rPr>
        <w:t>’What’s</w:t>
      </w:r>
      <w:proofErr w:type="gramEnd"/>
      <w:r w:rsidR="00491961" w:rsidRPr="00491961">
        <w:rPr>
          <w:rFonts w:ascii="Cambria" w:eastAsia="Calibri" w:hAnsi="Cambria"/>
        </w:rPr>
        <w:t xml:space="preserve"> in a Name? </w:t>
      </w:r>
      <w:proofErr w:type="gramStart"/>
      <w:r w:rsidR="00491961" w:rsidRPr="00491961">
        <w:rPr>
          <w:rFonts w:ascii="Cambria" w:eastAsia="Calibri" w:hAnsi="Cambria"/>
        </w:rPr>
        <w:t xml:space="preserve">Challenges to the Creation of EU Delegations’, </w:t>
      </w:r>
      <w:r w:rsidR="00491961" w:rsidRPr="00491961">
        <w:rPr>
          <w:rFonts w:ascii="Cambria" w:eastAsia="Calibri" w:hAnsi="Cambria"/>
          <w:i/>
        </w:rPr>
        <w:t>The Hague of Diplomacy,</w:t>
      </w:r>
      <w:r w:rsidR="00491961" w:rsidRPr="00491961">
        <w:rPr>
          <w:rFonts w:ascii="Cambria" w:eastAsia="Calibri" w:hAnsi="Cambria"/>
        </w:rPr>
        <w:t xml:space="preserve"> vol. 7, no 1, pp. 51-64</w:t>
      </w:r>
      <w:r w:rsidR="00491961">
        <w:rPr>
          <w:rFonts w:ascii="Cambria" w:eastAsia="Calibri" w:hAnsi="Cambria"/>
        </w:rPr>
        <w:t xml:space="preserve"> </w:t>
      </w:r>
      <w:r w:rsidR="00491961" w:rsidRPr="00491961">
        <w:rPr>
          <w:rFonts w:ascii="Cambria" w:eastAsia="Calibri" w:hAnsi="Cambria"/>
          <w:b/>
        </w:rPr>
        <w:t>(e-class document).</w:t>
      </w:r>
      <w:proofErr w:type="gramEnd"/>
    </w:p>
    <w:p w:rsidR="00491961" w:rsidRPr="00491961" w:rsidRDefault="00491961" w:rsidP="00491961">
      <w:pPr>
        <w:pStyle w:val="a3"/>
        <w:jc w:val="both"/>
        <w:rPr>
          <w:rFonts w:ascii="Cambria" w:eastAsia="Calibri" w:hAnsi="Cambria"/>
        </w:rPr>
      </w:pPr>
    </w:p>
    <w:p w:rsidR="00491961" w:rsidRPr="00321EDB" w:rsidRDefault="00491961" w:rsidP="00491961">
      <w:pPr>
        <w:ind w:left="90" w:right="-483"/>
        <w:jc w:val="both"/>
        <w:rPr>
          <w:rFonts w:asciiTheme="majorHAnsi" w:hAnsiTheme="majorHAnsi"/>
        </w:rPr>
      </w:pPr>
      <w:bookmarkStart w:id="2" w:name="_Toc401048352"/>
      <w:proofErr w:type="gramStart"/>
      <w:r w:rsidRPr="00321EDB">
        <w:rPr>
          <w:rFonts w:asciiTheme="majorHAnsi" w:hAnsiTheme="majorHAnsi"/>
        </w:rPr>
        <w:t xml:space="preserve">Maurer, H. and </w:t>
      </w:r>
      <w:proofErr w:type="spellStart"/>
      <w:r w:rsidRPr="00321EDB">
        <w:rPr>
          <w:rFonts w:asciiTheme="majorHAnsi" w:hAnsiTheme="majorHAnsi"/>
        </w:rPr>
        <w:t>Raik</w:t>
      </w:r>
      <w:proofErr w:type="spellEnd"/>
      <w:r w:rsidRPr="00321EDB">
        <w:rPr>
          <w:rFonts w:asciiTheme="majorHAnsi" w:hAnsiTheme="majorHAnsi"/>
        </w:rPr>
        <w:t>, K. (2014) “Pioneers of a European diplomatic system.</w:t>
      </w:r>
      <w:proofErr w:type="gramEnd"/>
      <w:r w:rsidRPr="00321EDB">
        <w:rPr>
          <w:rFonts w:asciiTheme="majorHAnsi" w:hAnsiTheme="majorHAnsi"/>
        </w:rPr>
        <w:t xml:space="preserve"> EU Delegations in Moscow and Washington”, </w:t>
      </w:r>
      <w:r w:rsidRPr="00321EDB">
        <w:rPr>
          <w:rFonts w:asciiTheme="majorHAnsi" w:hAnsiTheme="majorHAnsi"/>
          <w:i/>
        </w:rPr>
        <w:t>Finnish Institute of International Affairs</w:t>
      </w:r>
      <w:r w:rsidRPr="00321EDB">
        <w:rPr>
          <w:rFonts w:asciiTheme="majorHAnsi" w:hAnsiTheme="majorHAnsi"/>
        </w:rPr>
        <w:t>, FIIA Analysis-1, May 2014</w:t>
      </w:r>
      <w:bookmarkEnd w:id="2"/>
    </w:p>
    <w:p w:rsidR="00EC4F30" w:rsidRPr="00491961" w:rsidRDefault="00EC4F30" w:rsidP="00940525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</w:rPr>
      </w:pPr>
    </w:p>
    <w:p w:rsidR="00EC4F30" w:rsidRPr="00940525" w:rsidRDefault="00EC4F30" w:rsidP="00940525">
      <w:pPr>
        <w:pStyle w:val="a3"/>
        <w:numPr>
          <w:ilvl w:val="0"/>
          <w:numId w:val="10"/>
        </w:numPr>
        <w:shd w:val="clear" w:color="auto" w:fill="F5F5F5"/>
        <w:ind w:left="0" w:firstLine="0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Μορφές Εκπροσώπησης της ΕΕ στους Διεθνείς Οργανισμούς</w:t>
      </w:r>
    </w:p>
    <w:p w:rsidR="00EC4F30" w:rsidRDefault="00EC4F30" w:rsidP="00940525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D14B36" w:rsidRPr="00CA1C59" w:rsidRDefault="000D336B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lang w:val="en-US"/>
        </w:rPr>
      </w:pPr>
      <w:r>
        <w:rPr>
          <w:rFonts w:asciiTheme="majorHAnsi" w:hAnsiTheme="majorHAnsi" w:cs="Tahoma"/>
          <w:lang w:val="en-IE"/>
        </w:rPr>
        <w:t>*</w:t>
      </w:r>
      <w:proofErr w:type="spellStart"/>
      <w:r w:rsidRPr="00774F3C">
        <w:rPr>
          <w:rFonts w:asciiTheme="majorHAnsi" w:hAnsiTheme="majorHAnsi" w:cs="Tahoma"/>
          <w:lang w:val="en-US"/>
        </w:rPr>
        <w:t>Mahncke</w:t>
      </w:r>
      <w:proofErr w:type="spellEnd"/>
      <w:r w:rsidRPr="00774F3C">
        <w:rPr>
          <w:rFonts w:asciiTheme="majorHAnsi" w:hAnsiTheme="majorHAnsi" w:cs="Tahoma"/>
          <w:lang w:val="en-US"/>
        </w:rPr>
        <w:t xml:space="preserve">, D. and </w:t>
      </w:r>
      <w:proofErr w:type="spellStart"/>
      <w:r w:rsidRPr="00774F3C">
        <w:rPr>
          <w:rFonts w:asciiTheme="majorHAnsi" w:hAnsiTheme="majorHAnsi" w:cs="Tahoma"/>
          <w:lang w:val="en-US"/>
        </w:rPr>
        <w:t>Gstohl</w:t>
      </w:r>
      <w:proofErr w:type="spellEnd"/>
      <w:r w:rsidRPr="00774F3C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Pr="00774F3C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Pr="00774F3C">
        <w:rPr>
          <w:rFonts w:asciiTheme="majorHAnsi" w:hAnsiTheme="majorHAnsi" w:cs="Tahoma"/>
          <w:lang w:val="en-US"/>
        </w:rPr>
        <w:t xml:space="preserve">) </w:t>
      </w:r>
      <w:r w:rsidRPr="00774F3C">
        <w:rPr>
          <w:rFonts w:asciiTheme="majorHAnsi" w:hAnsiTheme="majorHAnsi" w:cs="Tahoma"/>
          <w:i/>
          <w:lang w:val="en-US"/>
        </w:rPr>
        <w:t>European Union Diplomacy</w:t>
      </w:r>
      <w:r w:rsidRPr="00774F3C">
        <w:rPr>
          <w:rFonts w:asciiTheme="majorHAnsi" w:hAnsiTheme="majorHAnsi" w:cs="Tahoma"/>
          <w:lang w:val="en-US"/>
        </w:rPr>
        <w:t xml:space="preserve"> (Brussels: Peter Lang, 2012)</w:t>
      </w:r>
      <w:r>
        <w:rPr>
          <w:rFonts w:asciiTheme="majorHAnsi" w:hAnsiTheme="majorHAnsi" w:cs="Tahoma"/>
          <w:i/>
          <w:iCs/>
          <w:lang w:val="en-US"/>
        </w:rPr>
        <w:t xml:space="preserve">, </w:t>
      </w:r>
      <w:r>
        <w:rPr>
          <w:rFonts w:asciiTheme="majorHAnsi" w:hAnsiTheme="majorHAnsi" w:cs="Tahoma"/>
          <w:i/>
          <w:iCs/>
          <w:lang w:val="en-IE"/>
        </w:rPr>
        <w:t>pp. 143-151</w:t>
      </w:r>
      <w:r w:rsidR="00CA1C59" w:rsidRPr="00CA1C59">
        <w:rPr>
          <w:rFonts w:asciiTheme="majorHAnsi" w:hAnsiTheme="majorHAnsi" w:cs="Tahoma"/>
          <w:i/>
          <w:iCs/>
          <w:lang w:val="en-US"/>
        </w:rPr>
        <w:t xml:space="preserve"> (</w:t>
      </w:r>
      <w:r w:rsidR="00CA1C59">
        <w:rPr>
          <w:rFonts w:asciiTheme="majorHAnsi" w:hAnsiTheme="majorHAnsi" w:cs="Tahoma"/>
          <w:i/>
          <w:iCs/>
          <w:lang w:val="el-GR"/>
        </w:rPr>
        <w:t>διανέμεται</w:t>
      </w:r>
      <w:r w:rsidR="00CA1C59" w:rsidRPr="00CA1C59">
        <w:rPr>
          <w:rFonts w:asciiTheme="majorHAnsi" w:hAnsiTheme="majorHAnsi" w:cs="Tahoma"/>
          <w:i/>
          <w:iCs/>
          <w:lang w:val="en-US"/>
        </w:rPr>
        <w:t>)</w:t>
      </w:r>
    </w:p>
    <w:p w:rsidR="000D336B" w:rsidRDefault="000D336B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lang w:val="en-IE"/>
        </w:rPr>
      </w:pPr>
    </w:p>
    <w:p w:rsidR="00EC4F30" w:rsidRDefault="00D14B36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  <w:r>
        <w:rPr>
          <w:rStyle w:val="hps"/>
          <w:rFonts w:asciiTheme="majorHAnsi" w:hAnsiTheme="majorHAnsi"/>
          <w:color w:val="222222"/>
          <w:lang w:val="en-IE"/>
        </w:rPr>
        <w:t>*</w:t>
      </w:r>
      <w:r w:rsidR="00EC4F30" w:rsidRPr="00D14B36">
        <w:rPr>
          <w:rStyle w:val="hps"/>
          <w:rFonts w:asciiTheme="majorHAnsi" w:hAnsiTheme="majorHAnsi"/>
          <w:color w:val="222222"/>
          <w:lang w:val="el-GR"/>
        </w:rPr>
        <w:t>Μ</w:t>
      </w:r>
      <w:r w:rsidR="00EC4F30" w:rsidRPr="00D14B36">
        <w:rPr>
          <w:rStyle w:val="hps"/>
          <w:rFonts w:asciiTheme="majorHAnsi" w:hAnsiTheme="majorHAnsi"/>
          <w:color w:val="222222"/>
          <w:lang w:val="en-US"/>
        </w:rPr>
        <w:t xml:space="preserve">. </w:t>
      </w:r>
      <w:r w:rsidR="00EC4F30" w:rsidRPr="00D14B36">
        <w:rPr>
          <w:rStyle w:val="hps"/>
          <w:rFonts w:asciiTheme="majorHAnsi" w:hAnsiTheme="majorHAnsi"/>
          <w:color w:val="222222"/>
          <w:lang w:val="el-GR"/>
        </w:rPr>
        <w:t>Ε</w:t>
      </w:r>
      <w:proofErr w:type="spellStart"/>
      <w:r w:rsidR="00EC4F30" w:rsidRPr="00D14B36">
        <w:rPr>
          <w:rStyle w:val="hps"/>
          <w:rFonts w:asciiTheme="majorHAnsi" w:hAnsiTheme="majorHAnsi"/>
          <w:color w:val="222222"/>
          <w:lang w:val="en-IE"/>
        </w:rPr>
        <w:t>merson</w:t>
      </w:r>
      <w:proofErr w:type="spellEnd"/>
      <w:r w:rsidR="00EC4F30" w:rsidRPr="00D14B36">
        <w:rPr>
          <w:rStyle w:val="hps"/>
          <w:rFonts w:asciiTheme="majorHAnsi" w:hAnsiTheme="majorHAnsi"/>
          <w:color w:val="222222"/>
          <w:lang w:val="en-IE"/>
        </w:rPr>
        <w:t xml:space="preserve"> and P. Kaczynski, ‘Looking Afresh at the External Representation of the EU in the International Arena, Post Lisbon’, CEPS Policy Brief, no 212, July 2010, pp. 1-5 </w:t>
      </w:r>
      <w:r w:rsidR="00EC4F30" w:rsidRPr="00D14B36">
        <w:rPr>
          <w:rStyle w:val="hps"/>
          <w:rFonts w:asciiTheme="majorHAnsi" w:hAnsiTheme="majorHAnsi"/>
          <w:b/>
          <w:color w:val="222222"/>
          <w:lang w:val="en-IE"/>
        </w:rPr>
        <w:t>(e-class document)</w:t>
      </w:r>
    </w:p>
    <w:p w:rsidR="00B80E5A" w:rsidRDefault="00B80E5A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</w:p>
    <w:p w:rsidR="00B80E5A" w:rsidRPr="00D14B36" w:rsidRDefault="00B80E5A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  <w:r w:rsidRPr="00B80E5A">
        <w:rPr>
          <w:rStyle w:val="hps"/>
          <w:rFonts w:asciiTheme="majorHAnsi" w:hAnsiTheme="majorHAnsi"/>
          <w:color w:val="222222"/>
          <w:lang w:val="en-IE"/>
        </w:rPr>
        <w:t>‘J</w:t>
      </w:r>
      <w:r>
        <w:rPr>
          <w:rStyle w:val="hps"/>
          <w:rFonts w:asciiTheme="majorHAnsi" w:hAnsiTheme="majorHAnsi"/>
          <w:color w:val="222222"/>
          <w:lang w:val="en-IE"/>
        </w:rPr>
        <w:t>.</w:t>
      </w:r>
      <w:r w:rsidRPr="00B80E5A">
        <w:rPr>
          <w:rStyle w:val="hps"/>
          <w:rFonts w:asciiTheme="majorHAnsi" w:hAnsiTheme="majorHAnsi"/>
          <w:color w:val="222222"/>
          <w:lang w:val="en-IE"/>
        </w:rPr>
        <w:t xml:space="preserve"> </w:t>
      </w:r>
      <w:proofErr w:type="spellStart"/>
      <w:r w:rsidRPr="00B80E5A">
        <w:rPr>
          <w:rStyle w:val="hps"/>
          <w:rFonts w:asciiTheme="majorHAnsi" w:hAnsiTheme="majorHAnsi"/>
          <w:color w:val="222222"/>
          <w:lang w:val="en-IE"/>
        </w:rPr>
        <w:t>Wouters</w:t>
      </w:r>
      <w:proofErr w:type="spellEnd"/>
      <w:r w:rsidRPr="00B80E5A">
        <w:rPr>
          <w:rStyle w:val="hps"/>
          <w:rFonts w:asciiTheme="majorHAnsi" w:hAnsiTheme="majorHAnsi"/>
          <w:color w:val="222222"/>
          <w:lang w:val="en-IE"/>
        </w:rPr>
        <w:t xml:space="preserve">, J. </w:t>
      </w:r>
      <w:proofErr w:type="spellStart"/>
      <w:r w:rsidRPr="00B80E5A">
        <w:rPr>
          <w:rStyle w:val="hps"/>
          <w:rFonts w:asciiTheme="majorHAnsi" w:hAnsiTheme="majorHAnsi"/>
          <w:color w:val="222222"/>
          <w:lang w:val="en-IE"/>
        </w:rPr>
        <w:t>Odermatt</w:t>
      </w:r>
      <w:proofErr w:type="spellEnd"/>
      <w:r w:rsidRPr="00B80E5A">
        <w:rPr>
          <w:rStyle w:val="hps"/>
          <w:rFonts w:asciiTheme="majorHAnsi" w:hAnsiTheme="majorHAnsi"/>
          <w:color w:val="222222"/>
          <w:lang w:val="en-IE"/>
        </w:rPr>
        <w:t xml:space="preserve"> and T. </w:t>
      </w:r>
      <w:proofErr w:type="spellStart"/>
      <w:r w:rsidRPr="00B80E5A">
        <w:rPr>
          <w:rStyle w:val="hps"/>
          <w:rFonts w:asciiTheme="majorHAnsi" w:hAnsiTheme="majorHAnsi"/>
          <w:color w:val="222222"/>
          <w:lang w:val="en-IE"/>
        </w:rPr>
        <w:t>Ramopoulos</w:t>
      </w:r>
      <w:proofErr w:type="spellEnd"/>
      <w:r w:rsidRPr="00B80E5A">
        <w:rPr>
          <w:rStyle w:val="hps"/>
          <w:rFonts w:asciiTheme="majorHAnsi" w:hAnsiTheme="majorHAnsi"/>
          <w:color w:val="222222"/>
          <w:lang w:val="en-IE"/>
        </w:rPr>
        <w:t xml:space="preserve">, ‘The EU in the World of International Organizations: Diplomatic Aspirations, Legal Hurdles and Political Realities, Leuven Centre </w:t>
      </w:r>
      <w:r w:rsidRPr="00B80E5A">
        <w:rPr>
          <w:rStyle w:val="hps"/>
          <w:rFonts w:asciiTheme="majorHAnsi" w:hAnsiTheme="majorHAnsi"/>
          <w:color w:val="222222"/>
          <w:lang w:val="en-IE"/>
        </w:rPr>
        <w:lastRenderedPageBreak/>
        <w:t>for Global Governance Studies, Working Paper 121, Sep 2013</w:t>
      </w:r>
      <w:r>
        <w:rPr>
          <w:rStyle w:val="hps"/>
          <w:rFonts w:asciiTheme="majorHAnsi" w:hAnsiTheme="majorHAnsi"/>
          <w:b/>
          <w:color w:val="222222"/>
          <w:lang w:val="en-IE"/>
        </w:rPr>
        <w:t xml:space="preserve"> (E-class document</w:t>
      </w:r>
      <w:r w:rsidR="006612A6">
        <w:rPr>
          <w:rStyle w:val="hps"/>
          <w:rFonts w:asciiTheme="majorHAnsi" w:hAnsiTheme="majorHAnsi"/>
          <w:b/>
          <w:color w:val="222222"/>
          <w:lang w:val="en-IE"/>
        </w:rPr>
        <w:t>, In English and Greek</w:t>
      </w:r>
      <w:r>
        <w:rPr>
          <w:rStyle w:val="hps"/>
          <w:rFonts w:asciiTheme="majorHAnsi" w:hAnsiTheme="majorHAnsi"/>
          <w:b/>
          <w:color w:val="222222"/>
          <w:lang w:val="en-IE"/>
        </w:rPr>
        <w:t>).</w:t>
      </w:r>
    </w:p>
    <w:p w:rsidR="00524DE6" w:rsidRPr="00D14B36" w:rsidRDefault="00524DE6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IE"/>
        </w:rPr>
      </w:pPr>
    </w:p>
    <w:p w:rsidR="00524DE6" w:rsidRPr="00940525" w:rsidRDefault="00B80E5A" w:rsidP="00940525">
      <w:pPr>
        <w:pStyle w:val="a3"/>
        <w:numPr>
          <w:ilvl w:val="0"/>
          <w:numId w:val="10"/>
        </w:numPr>
        <w:shd w:val="clear" w:color="auto" w:fill="F5F5F5"/>
        <w:ind w:left="0" w:firstLine="0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n-US"/>
        </w:rPr>
        <w:t>H</w:t>
      </w:r>
      <w:r w:rsidRPr="00940525">
        <w:rPr>
          <w:rStyle w:val="hps"/>
          <w:rFonts w:asciiTheme="majorHAnsi" w:hAnsiTheme="majorHAnsi"/>
          <w:b/>
          <w:color w:val="222222"/>
          <w:lang w:val="el-GR"/>
        </w:rPr>
        <w:t xml:space="preserve"> Εκπροσώπηση της ΕΕ </w:t>
      </w:r>
      <w:r w:rsidR="00940525">
        <w:rPr>
          <w:rStyle w:val="hps"/>
          <w:rFonts w:asciiTheme="majorHAnsi" w:hAnsiTheme="majorHAnsi"/>
          <w:b/>
          <w:color w:val="222222"/>
          <w:lang w:val="el-GR"/>
        </w:rPr>
        <w:t xml:space="preserve">στα Ηνωμένα </w:t>
      </w:r>
      <w:r w:rsidR="00940525" w:rsidRPr="00940525">
        <w:rPr>
          <w:rStyle w:val="hps"/>
          <w:rFonts w:asciiTheme="majorHAnsi" w:hAnsiTheme="majorHAnsi"/>
          <w:b/>
          <w:color w:val="222222"/>
          <w:lang w:val="el-GR"/>
        </w:rPr>
        <w:t>‘</w:t>
      </w:r>
      <w:proofErr w:type="spellStart"/>
      <w:r w:rsidRPr="00940525">
        <w:rPr>
          <w:rStyle w:val="hps"/>
          <w:rFonts w:asciiTheme="majorHAnsi" w:hAnsiTheme="majorHAnsi"/>
          <w:b/>
          <w:color w:val="222222"/>
          <w:lang w:val="el-GR"/>
        </w:rPr>
        <w:t>Εθνη</w:t>
      </w:r>
      <w:proofErr w:type="spellEnd"/>
    </w:p>
    <w:p w:rsidR="00B80E5A" w:rsidRDefault="00B80E5A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B80E5A">
        <w:rPr>
          <w:rStyle w:val="hps"/>
          <w:rFonts w:asciiTheme="majorHAnsi" w:hAnsiTheme="majorHAnsi"/>
          <w:b/>
          <w:color w:val="222222"/>
          <w:lang w:val="el-GR"/>
        </w:rPr>
        <w:t>(</w:t>
      </w:r>
      <w:r>
        <w:rPr>
          <w:rStyle w:val="hps"/>
          <w:rFonts w:asciiTheme="majorHAnsi" w:hAnsiTheme="majorHAnsi"/>
          <w:b/>
          <w:color w:val="222222"/>
          <w:lang w:val="el-GR"/>
        </w:rPr>
        <w:t>στη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>
        <w:rPr>
          <w:rStyle w:val="hps"/>
          <w:rFonts w:asciiTheme="majorHAnsi" w:hAnsiTheme="majorHAnsi"/>
          <w:b/>
          <w:color w:val="222222"/>
          <w:lang w:val="el-GR"/>
        </w:rPr>
        <w:t>Γενική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>
        <w:rPr>
          <w:rStyle w:val="hps"/>
          <w:rFonts w:asciiTheme="majorHAnsi" w:hAnsiTheme="majorHAnsi"/>
          <w:b/>
          <w:color w:val="222222"/>
          <w:lang w:val="el-GR"/>
        </w:rPr>
        <w:t>Συνέλευση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>
        <w:rPr>
          <w:rStyle w:val="hps"/>
          <w:rFonts w:asciiTheme="majorHAnsi" w:hAnsiTheme="majorHAnsi"/>
          <w:b/>
          <w:color w:val="222222"/>
          <w:lang w:val="el-GR"/>
        </w:rPr>
        <w:t>και στο Συμβούλιο Ασφαλείας)</w:t>
      </w:r>
    </w:p>
    <w:p w:rsidR="00B80E5A" w:rsidRPr="001D3495" w:rsidRDefault="00B80E5A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lang w:val="el-GR"/>
        </w:rPr>
      </w:pPr>
    </w:p>
    <w:p w:rsidR="00B80E5A" w:rsidRPr="00B80E5A" w:rsidRDefault="006612A6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6612A6">
        <w:rPr>
          <w:rStyle w:val="hps"/>
          <w:rFonts w:asciiTheme="majorHAnsi" w:hAnsiTheme="majorHAnsi"/>
          <w:color w:val="222222"/>
          <w:lang w:val="el-GR"/>
        </w:rPr>
        <w:t>*</w:t>
      </w:r>
      <w:r w:rsidR="00B80E5A" w:rsidRPr="00B80E5A">
        <w:rPr>
          <w:rStyle w:val="hps"/>
          <w:rFonts w:asciiTheme="majorHAnsi" w:hAnsiTheme="majorHAnsi"/>
          <w:color w:val="222222"/>
          <w:lang w:val="el-GR"/>
        </w:rPr>
        <w:t xml:space="preserve">Σ. </w:t>
      </w:r>
      <w:proofErr w:type="spellStart"/>
      <w:r w:rsidR="00B80E5A" w:rsidRPr="00B80E5A">
        <w:rPr>
          <w:rStyle w:val="hps"/>
          <w:rFonts w:asciiTheme="majorHAnsi" w:hAnsiTheme="majorHAnsi"/>
          <w:color w:val="222222"/>
          <w:lang w:val="el-GR"/>
        </w:rPr>
        <w:t>Μπλαβούκος</w:t>
      </w:r>
      <w:proofErr w:type="spellEnd"/>
      <w:r w:rsidR="00B80E5A" w:rsidRPr="00B80E5A">
        <w:rPr>
          <w:rStyle w:val="hps"/>
          <w:rFonts w:asciiTheme="majorHAnsi" w:hAnsiTheme="majorHAnsi"/>
          <w:color w:val="222222"/>
          <w:lang w:val="el-GR"/>
        </w:rPr>
        <w:t xml:space="preserve">, ‘ Η Θεσμική Εκπροσώπηση της ΕΕ στη Γενική Συνέλευση του ΟΗΕ μετά τη Λισαβόνα’, </w:t>
      </w:r>
      <w:r w:rsidR="00B80E5A" w:rsidRPr="00B80E5A">
        <w:rPr>
          <w:rStyle w:val="hps"/>
          <w:rFonts w:asciiTheme="majorHAnsi" w:hAnsiTheme="majorHAnsi"/>
          <w:i/>
          <w:color w:val="222222"/>
          <w:lang w:val="el-GR"/>
        </w:rPr>
        <w:t>Διεθνής και Ευρωπαϊκή Πολιτική</w:t>
      </w:r>
      <w:r w:rsidR="00B80E5A" w:rsidRPr="00B80E5A">
        <w:rPr>
          <w:rStyle w:val="hps"/>
          <w:rFonts w:asciiTheme="majorHAnsi" w:hAnsiTheme="majorHAnsi"/>
          <w:color w:val="222222"/>
          <w:lang w:val="el-GR"/>
        </w:rPr>
        <w:t>, Τεύχος 33, Δεκέμβριος, 2014, σελ. 71-87</w:t>
      </w:r>
      <w:r w:rsidR="00B80E5A">
        <w:rPr>
          <w:rStyle w:val="hps"/>
          <w:rFonts w:asciiTheme="majorHAnsi" w:hAnsiTheme="majorHAnsi"/>
          <w:b/>
          <w:color w:val="222222"/>
          <w:lang w:val="el-GR"/>
        </w:rPr>
        <w:t xml:space="preserve"> (</w:t>
      </w:r>
      <w:r w:rsidR="00B80E5A">
        <w:rPr>
          <w:rStyle w:val="hps"/>
          <w:rFonts w:asciiTheme="majorHAnsi" w:hAnsiTheme="majorHAnsi"/>
          <w:b/>
          <w:color w:val="222222"/>
          <w:lang w:val="en-IE"/>
        </w:rPr>
        <w:t>e</w:t>
      </w:r>
      <w:r w:rsidR="00B80E5A" w:rsidRPr="00B80E5A">
        <w:rPr>
          <w:rStyle w:val="hps"/>
          <w:rFonts w:asciiTheme="majorHAnsi" w:hAnsiTheme="majorHAnsi"/>
          <w:b/>
          <w:color w:val="222222"/>
          <w:lang w:val="el-GR"/>
        </w:rPr>
        <w:t>-</w:t>
      </w:r>
      <w:r w:rsidR="00B80E5A">
        <w:rPr>
          <w:rStyle w:val="hps"/>
          <w:rFonts w:asciiTheme="majorHAnsi" w:hAnsiTheme="majorHAnsi"/>
          <w:b/>
          <w:color w:val="222222"/>
          <w:lang w:val="en-IE"/>
        </w:rPr>
        <w:t>class</w:t>
      </w:r>
      <w:r w:rsidR="00B80E5A" w:rsidRPr="00B80E5A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 w:rsidR="00B80E5A">
        <w:rPr>
          <w:rStyle w:val="hps"/>
          <w:rFonts w:asciiTheme="majorHAnsi" w:hAnsiTheme="majorHAnsi"/>
          <w:b/>
          <w:color w:val="222222"/>
          <w:lang w:val="en-IE"/>
        </w:rPr>
        <w:t>document</w:t>
      </w:r>
      <w:r w:rsidR="00B80E5A" w:rsidRPr="00B80E5A">
        <w:rPr>
          <w:rStyle w:val="hps"/>
          <w:rFonts w:asciiTheme="majorHAnsi" w:hAnsiTheme="majorHAnsi"/>
          <w:b/>
          <w:color w:val="222222"/>
          <w:lang w:val="el-GR"/>
        </w:rPr>
        <w:t>).</w:t>
      </w:r>
    </w:p>
    <w:p w:rsidR="00B80E5A" w:rsidRDefault="00B80E5A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B80E5A" w:rsidRPr="00D35168" w:rsidRDefault="00DC5E62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u w:val="single"/>
          <w:lang w:val="en-US"/>
        </w:rPr>
      </w:pPr>
      <w:r w:rsidRPr="00D35168">
        <w:rPr>
          <w:rStyle w:val="hps"/>
          <w:rFonts w:asciiTheme="majorHAnsi" w:hAnsiTheme="majorHAnsi"/>
          <w:color w:val="222222"/>
          <w:u w:val="single"/>
          <w:lang w:val="el-GR"/>
        </w:rPr>
        <w:t>Συμπληρωματική</w:t>
      </w:r>
      <w:r w:rsidRPr="00D35168">
        <w:rPr>
          <w:rStyle w:val="hps"/>
          <w:rFonts w:asciiTheme="majorHAnsi" w:hAnsiTheme="majorHAnsi"/>
          <w:color w:val="222222"/>
          <w:u w:val="single"/>
          <w:lang w:val="en-US"/>
        </w:rPr>
        <w:t xml:space="preserve">  </w:t>
      </w:r>
      <w:r w:rsidRPr="00D35168">
        <w:rPr>
          <w:rStyle w:val="hps"/>
          <w:rFonts w:asciiTheme="majorHAnsi" w:hAnsiTheme="majorHAnsi"/>
          <w:color w:val="222222"/>
          <w:u w:val="single"/>
          <w:lang w:val="el-GR"/>
        </w:rPr>
        <w:t>Βιβλιογραφία</w:t>
      </w:r>
    </w:p>
    <w:p w:rsidR="007B5A50" w:rsidRPr="007B5A50" w:rsidRDefault="007B5A50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  <w:r w:rsidRPr="007B5A50">
        <w:rPr>
          <w:rStyle w:val="hps"/>
          <w:rFonts w:asciiTheme="majorHAnsi" w:hAnsiTheme="majorHAnsi"/>
          <w:color w:val="222222"/>
          <w:lang w:val="en-IE"/>
        </w:rPr>
        <w:t xml:space="preserve">S. </w:t>
      </w:r>
      <w:proofErr w:type="spellStart"/>
      <w:r w:rsidRPr="007B5A50">
        <w:rPr>
          <w:rStyle w:val="hps"/>
          <w:rFonts w:asciiTheme="majorHAnsi" w:hAnsiTheme="majorHAnsi"/>
          <w:color w:val="222222"/>
          <w:lang w:val="en-IE"/>
        </w:rPr>
        <w:t>Blavoukos</w:t>
      </w:r>
      <w:proofErr w:type="spellEnd"/>
      <w:r w:rsidRPr="007B5A50">
        <w:rPr>
          <w:rStyle w:val="hps"/>
          <w:rFonts w:asciiTheme="majorHAnsi" w:hAnsiTheme="majorHAnsi"/>
          <w:color w:val="222222"/>
          <w:lang w:val="en-IE"/>
        </w:rPr>
        <w:t xml:space="preserve"> and D. </w:t>
      </w:r>
      <w:proofErr w:type="spellStart"/>
      <w:r w:rsidRPr="007B5A50">
        <w:rPr>
          <w:rStyle w:val="hps"/>
          <w:rFonts w:asciiTheme="majorHAnsi" w:hAnsiTheme="majorHAnsi"/>
          <w:color w:val="222222"/>
          <w:lang w:val="en-IE"/>
        </w:rPr>
        <w:t>Bourantonis</w:t>
      </w:r>
      <w:proofErr w:type="spellEnd"/>
      <w:r w:rsidRPr="007B5A50">
        <w:rPr>
          <w:rStyle w:val="hps"/>
          <w:rFonts w:asciiTheme="majorHAnsi" w:hAnsiTheme="majorHAnsi"/>
          <w:color w:val="222222"/>
          <w:lang w:val="en-IE"/>
        </w:rPr>
        <w:t>,</w:t>
      </w:r>
      <w:r w:rsidR="00D35168">
        <w:rPr>
          <w:rStyle w:val="hps"/>
          <w:rFonts w:asciiTheme="majorHAnsi" w:hAnsiTheme="majorHAnsi"/>
          <w:color w:val="222222"/>
          <w:lang w:val="en-IE"/>
        </w:rPr>
        <w:t xml:space="preserve"> ‘</w:t>
      </w:r>
      <w:r w:rsidRPr="007B5A50">
        <w:rPr>
          <w:rStyle w:val="hps"/>
          <w:rFonts w:asciiTheme="majorHAnsi" w:hAnsiTheme="majorHAnsi"/>
          <w:color w:val="222222"/>
          <w:lang w:val="en-IE"/>
        </w:rPr>
        <w:t>The EU’s Performance in the United Nations Security Council’, Journal of European Integration,</w:t>
      </w:r>
      <w:r>
        <w:rPr>
          <w:rStyle w:val="hps"/>
          <w:rFonts w:asciiTheme="majorHAnsi" w:hAnsiTheme="majorHAnsi"/>
          <w:b/>
          <w:color w:val="222222"/>
          <w:lang w:val="en-IE"/>
        </w:rPr>
        <w:t xml:space="preserve"> </w:t>
      </w:r>
      <w:r>
        <w:rPr>
          <w:lang w:val="en-US"/>
        </w:rPr>
        <w:t xml:space="preserve">33(6), 2011, pp. 731-742 </w:t>
      </w:r>
      <w:r w:rsidRPr="007B5A50">
        <w:rPr>
          <w:b/>
          <w:lang w:val="en-US"/>
        </w:rPr>
        <w:t>(e-class document).</w:t>
      </w:r>
    </w:p>
    <w:p w:rsidR="00D35168" w:rsidRPr="001D3495" w:rsidRDefault="00D35168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n-US"/>
        </w:rPr>
      </w:pPr>
    </w:p>
    <w:p w:rsidR="00CA1C59" w:rsidRPr="00CA1C59" w:rsidRDefault="00CA1C59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l-GR"/>
        </w:rPr>
      </w:pPr>
      <w:r>
        <w:rPr>
          <w:rFonts w:asciiTheme="majorHAnsi" w:hAnsiTheme="majorHAnsi" w:cs="Tahoma"/>
          <w:lang w:val="el-GR"/>
        </w:rPr>
        <w:t xml:space="preserve">Μαρία Γιαννιού και Γ </w:t>
      </w:r>
      <w:proofErr w:type="spellStart"/>
      <w:r>
        <w:rPr>
          <w:rFonts w:asciiTheme="majorHAnsi" w:hAnsiTheme="majorHAnsi" w:cs="Tahoma"/>
          <w:lang w:val="el-GR"/>
        </w:rPr>
        <w:t>Γαλαριωτης</w:t>
      </w:r>
      <w:proofErr w:type="spellEnd"/>
      <w:r>
        <w:rPr>
          <w:rFonts w:asciiTheme="majorHAnsi" w:hAnsiTheme="majorHAnsi" w:cs="Tahoma"/>
          <w:lang w:val="el-GR"/>
        </w:rPr>
        <w:t xml:space="preserve">, ‘ Η Παρουσία και Συνοχή της ΕΕ στη Γενική Συνέλευση του ΟΗΕ μετά τη Λισαβόνα’, </w:t>
      </w:r>
      <w:r w:rsidRPr="00B80E5A">
        <w:rPr>
          <w:rStyle w:val="hps"/>
          <w:rFonts w:asciiTheme="majorHAnsi" w:hAnsiTheme="majorHAnsi"/>
          <w:i/>
          <w:color w:val="222222"/>
          <w:lang w:val="el-GR"/>
        </w:rPr>
        <w:t>Διεθνής και Ευρωπαϊκή Πολιτική</w:t>
      </w:r>
      <w:r w:rsidRPr="00B80E5A">
        <w:rPr>
          <w:rStyle w:val="hps"/>
          <w:rFonts w:asciiTheme="majorHAnsi" w:hAnsiTheme="majorHAnsi"/>
          <w:color w:val="222222"/>
          <w:lang w:val="el-GR"/>
        </w:rPr>
        <w:t xml:space="preserve">, Τεύχος 33, Δεκέμβριος, 2014, σελ. </w:t>
      </w:r>
      <w:r>
        <w:rPr>
          <w:rStyle w:val="hps"/>
          <w:rFonts w:asciiTheme="majorHAnsi" w:hAnsiTheme="majorHAnsi"/>
          <w:color w:val="222222"/>
          <w:lang w:val="el-GR"/>
        </w:rPr>
        <w:t xml:space="preserve">88-100 </w:t>
      </w:r>
      <w:r>
        <w:rPr>
          <w:rStyle w:val="hps"/>
          <w:rFonts w:asciiTheme="majorHAnsi" w:hAnsiTheme="majorHAnsi"/>
          <w:b/>
          <w:color w:val="222222"/>
          <w:lang w:val="el-GR"/>
        </w:rPr>
        <w:t>(</w:t>
      </w:r>
      <w:r>
        <w:rPr>
          <w:rStyle w:val="hps"/>
          <w:rFonts w:asciiTheme="majorHAnsi" w:hAnsiTheme="majorHAnsi"/>
          <w:b/>
          <w:color w:val="222222"/>
          <w:lang w:val="en-IE"/>
        </w:rPr>
        <w:t>e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>-</w:t>
      </w:r>
      <w:r>
        <w:rPr>
          <w:rStyle w:val="hps"/>
          <w:rFonts w:asciiTheme="majorHAnsi" w:hAnsiTheme="majorHAnsi"/>
          <w:b/>
          <w:color w:val="222222"/>
          <w:lang w:val="en-IE"/>
        </w:rPr>
        <w:t>class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 xml:space="preserve"> </w:t>
      </w:r>
      <w:r>
        <w:rPr>
          <w:rStyle w:val="hps"/>
          <w:rFonts w:asciiTheme="majorHAnsi" w:hAnsiTheme="majorHAnsi"/>
          <w:b/>
          <w:color w:val="222222"/>
          <w:lang w:val="en-IE"/>
        </w:rPr>
        <w:t>document</w:t>
      </w:r>
      <w:r w:rsidRPr="00B80E5A">
        <w:rPr>
          <w:rStyle w:val="hps"/>
          <w:rFonts w:asciiTheme="majorHAnsi" w:hAnsiTheme="majorHAnsi"/>
          <w:b/>
          <w:color w:val="222222"/>
          <w:lang w:val="el-GR"/>
        </w:rPr>
        <w:t>).</w:t>
      </w:r>
    </w:p>
    <w:p w:rsidR="00CA1C59" w:rsidRDefault="00CA1C59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l-GR"/>
        </w:rPr>
      </w:pPr>
    </w:p>
    <w:p w:rsidR="00D35168" w:rsidRDefault="00D35168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F. </w:t>
      </w:r>
      <w:proofErr w:type="spellStart"/>
      <w:r>
        <w:rPr>
          <w:rFonts w:asciiTheme="majorHAnsi" w:hAnsiTheme="majorHAnsi" w:cs="Tahoma"/>
          <w:lang w:val="en-US"/>
        </w:rPr>
        <w:t>Guimaraes</w:t>
      </w:r>
      <w:proofErr w:type="spellEnd"/>
      <w:r>
        <w:rPr>
          <w:rFonts w:asciiTheme="majorHAnsi" w:hAnsiTheme="majorHAnsi" w:cs="Tahoma"/>
          <w:lang w:val="en-US"/>
        </w:rPr>
        <w:t xml:space="preserve">, ‘Speak up! Getting the EU Voice at the UN General Assembly’, in J. </w:t>
      </w:r>
      <w:proofErr w:type="spellStart"/>
      <w:r>
        <w:rPr>
          <w:rFonts w:asciiTheme="majorHAnsi" w:hAnsiTheme="majorHAnsi" w:cs="Tahoma"/>
          <w:lang w:val="en-US"/>
        </w:rPr>
        <w:t>Koops</w:t>
      </w:r>
      <w:proofErr w:type="spellEnd"/>
      <w:r>
        <w:rPr>
          <w:rFonts w:asciiTheme="majorHAnsi" w:hAnsiTheme="majorHAnsi" w:cs="Tahoma"/>
          <w:lang w:val="en-US"/>
        </w:rPr>
        <w:t xml:space="preserve"> and G. </w:t>
      </w:r>
      <w:proofErr w:type="spellStart"/>
      <w:r>
        <w:rPr>
          <w:rFonts w:asciiTheme="majorHAnsi" w:hAnsiTheme="majorHAnsi" w:cs="Tahoma"/>
          <w:lang w:val="en-US"/>
        </w:rPr>
        <w:t>MacaI</w:t>
      </w:r>
      <w:proofErr w:type="spellEnd"/>
      <w:r>
        <w:rPr>
          <w:rFonts w:asciiTheme="majorHAnsi" w:hAnsiTheme="majorHAnsi" w:cs="Tahoma"/>
          <w:lang w:val="en-US"/>
        </w:rPr>
        <w:t>, (</w:t>
      </w:r>
      <w:proofErr w:type="spellStart"/>
      <w:proofErr w:type="gramStart"/>
      <w:r>
        <w:rPr>
          <w:rFonts w:asciiTheme="majorHAnsi" w:hAnsiTheme="majorHAnsi" w:cs="Tahoma"/>
          <w:lang w:val="en-US"/>
        </w:rPr>
        <w:t>eds</w:t>
      </w:r>
      <w:proofErr w:type="spellEnd"/>
      <w:proofErr w:type="gramEnd"/>
      <w:r>
        <w:rPr>
          <w:rFonts w:asciiTheme="majorHAnsi" w:hAnsiTheme="majorHAnsi" w:cs="Tahoma"/>
          <w:lang w:val="en-US"/>
        </w:rPr>
        <w:t xml:space="preserve">) </w:t>
      </w:r>
      <w:r w:rsidRPr="00D35168">
        <w:rPr>
          <w:rFonts w:asciiTheme="majorHAnsi" w:hAnsiTheme="majorHAnsi" w:cs="Tahoma"/>
          <w:i/>
          <w:lang w:val="en-US"/>
        </w:rPr>
        <w:t>The European Union as a Diplomatic Actor</w:t>
      </w:r>
      <w:r>
        <w:rPr>
          <w:rFonts w:asciiTheme="majorHAnsi" w:hAnsiTheme="majorHAnsi" w:cs="Tahoma"/>
          <w:lang w:val="en-US"/>
        </w:rPr>
        <w:t xml:space="preserve"> (London: Palgrave, 2015), pp. 88-102.</w:t>
      </w:r>
    </w:p>
    <w:p w:rsidR="007F6B55" w:rsidRDefault="007F6B55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n-US"/>
        </w:rPr>
      </w:pPr>
    </w:p>
    <w:p w:rsidR="007F6B55" w:rsidRPr="00940525" w:rsidRDefault="00CA1C59" w:rsidP="00940525">
      <w:pPr>
        <w:pStyle w:val="a3"/>
        <w:numPr>
          <w:ilvl w:val="0"/>
          <w:numId w:val="10"/>
        </w:numPr>
        <w:shd w:val="clear" w:color="auto" w:fill="F5F5F5"/>
        <w:ind w:left="0" w:firstLine="0"/>
        <w:jc w:val="both"/>
        <w:textAlignment w:val="top"/>
        <w:rPr>
          <w:rFonts w:asciiTheme="majorHAnsi" w:hAnsiTheme="majorHAnsi" w:cs="Tahoma"/>
          <w:b/>
          <w:lang w:val="el-GR"/>
        </w:rPr>
      </w:pPr>
      <w:r w:rsidRPr="00940525">
        <w:rPr>
          <w:rFonts w:asciiTheme="majorHAnsi" w:hAnsiTheme="majorHAnsi" w:cs="Tahoma"/>
          <w:b/>
          <w:lang w:val="el-GR"/>
        </w:rPr>
        <w:t xml:space="preserve">Η </w:t>
      </w:r>
      <w:r w:rsidR="00940525" w:rsidRPr="00940525">
        <w:rPr>
          <w:rFonts w:asciiTheme="majorHAnsi" w:hAnsiTheme="majorHAnsi" w:cs="Tahoma"/>
          <w:b/>
          <w:lang w:val="el-GR"/>
        </w:rPr>
        <w:t>Ευρωπαϊκή</w:t>
      </w:r>
      <w:r w:rsidRPr="00940525">
        <w:rPr>
          <w:rFonts w:asciiTheme="majorHAnsi" w:hAnsiTheme="majorHAnsi" w:cs="Tahoma"/>
          <w:b/>
          <w:lang w:val="el-GR"/>
        </w:rPr>
        <w:t xml:space="preserve"> Διπλωματία με άλλους δρώντες</w:t>
      </w:r>
    </w:p>
    <w:p w:rsidR="00B80E5A" w:rsidRPr="0024332F" w:rsidRDefault="00CA1C59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color w:val="222222"/>
          <w:lang w:val="el-GR"/>
        </w:rPr>
      </w:pPr>
      <w:r w:rsidRPr="0024332F">
        <w:rPr>
          <w:rStyle w:val="hps"/>
          <w:rFonts w:asciiTheme="majorHAnsi" w:hAnsiTheme="majorHAnsi"/>
          <w:color w:val="222222"/>
          <w:lang w:val="el-GR"/>
        </w:rPr>
        <w:t>(με τις μεγάλες δυνάμεις και άλλα κράτη)</w:t>
      </w:r>
    </w:p>
    <w:p w:rsidR="00025E0D" w:rsidRPr="00924155" w:rsidRDefault="00025E0D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l-GR"/>
        </w:rPr>
      </w:pPr>
    </w:p>
    <w:p w:rsidR="00CA1C59" w:rsidRDefault="00E769BC" w:rsidP="0024332F">
      <w:pPr>
        <w:shd w:val="clear" w:color="auto" w:fill="F5F5F5"/>
        <w:jc w:val="both"/>
        <w:textAlignment w:val="top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IE"/>
        </w:rPr>
        <w:t>*</w:t>
      </w:r>
      <w:r w:rsidR="00025E0D">
        <w:rPr>
          <w:rFonts w:asciiTheme="majorHAnsi" w:hAnsiTheme="majorHAnsi" w:cs="Tahoma"/>
          <w:lang w:val="el-GR"/>
        </w:rPr>
        <w:t>Τ</w:t>
      </w:r>
      <w:r w:rsidR="00025E0D" w:rsidRPr="00025E0D">
        <w:rPr>
          <w:rFonts w:asciiTheme="majorHAnsi" w:hAnsiTheme="majorHAnsi" w:cs="Tahoma"/>
          <w:lang w:val="en-US"/>
        </w:rPr>
        <w:t xml:space="preserve">. </w:t>
      </w:r>
      <w:r w:rsidR="00025E0D">
        <w:rPr>
          <w:rFonts w:asciiTheme="majorHAnsi" w:hAnsiTheme="majorHAnsi" w:cs="Tahoma"/>
          <w:lang w:val="en-IE"/>
        </w:rPr>
        <w:t>Surer</w:t>
      </w:r>
      <w:r w:rsidR="00CA1C59">
        <w:rPr>
          <w:rFonts w:asciiTheme="majorHAnsi" w:hAnsiTheme="majorHAnsi" w:cs="Tahoma"/>
          <w:lang w:val="en-US"/>
        </w:rPr>
        <w:t>, ‘</w:t>
      </w:r>
      <w:r w:rsidR="00025E0D">
        <w:rPr>
          <w:rFonts w:asciiTheme="majorHAnsi" w:hAnsiTheme="majorHAnsi" w:cs="Tahoma"/>
          <w:lang w:val="en-US"/>
        </w:rPr>
        <w:t xml:space="preserve">The EU as a Coercive Diplomatic </w:t>
      </w:r>
      <w:proofErr w:type="gramStart"/>
      <w:r w:rsidR="00025E0D">
        <w:rPr>
          <w:rFonts w:asciiTheme="majorHAnsi" w:hAnsiTheme="majorHAnsi" w:cs="Tahoma"/>
          <w:lang w:val="en-US"/>
        </w:rPr>
        <w:t>Actor ?</w:t>
      </w:r>
      <w:proofErr w:type="gramEnd"/>
      <w:r w:rsidR="00025E0D">
        <w:rPr>
          <w:rFonts w:asciiTheme="majorHAnsi" w:hAnsiTheme="majorHAnsi" w:cs="Tahoma"/>
          <w:lang w:val="en-US"/>
        </w:rPr>
        <w:t xml:space="preserve"> The EU-3 </w:t>
      </w:r>
      <w:proofErr w:type="spellStart"/>
      <w:r w:rsidR="00025E0D">
        <w:rPr>
          <w:rFonts w:asciiTheme="majorHAnsi" w:hAnsiTheme="majorHAnsi" w:cs="Tahoma"/>
          <w:lang w:val="en-US"/>
        </w:rPr>
        <w:t>Intiative</w:t>
      </w:r>
      <w:proofErr w:type="spellEnd"/>
      <w:r w:rsidR="00025E0D">
        <w:rPr>
          <w:rFonts w:asciiTheme="majorHAnsi" w:hAnsiTheme="majorHAnsi" w:cs="Tahoma"/>
          <w:lang w:val="en-US"/>
        </w:rPr>
        <w:t xml:space="preserve"> towards Iran’</w:t>
      </w:r>
      <w:r w:rsidR="00CA1C59">
        <w:rPr>
          <w:rFonts w:asciiTheme="majorHAnsi" w:hAnsiTheme="majorHAnsi" w:cs="Tahoma"/>
          <w:lang w:val="en-US"/>
        </w:rPr>
        <w:t xml:space="preserve">, in J. </w:t>
      </w:r>
      <w:proofErr w:type="spellStart"/>
      <w:r w:rsidR="00CA1C59">
        <w:rPr>
          <w:rFonts w:asciiTheme="majorHAnsi" w:hAnsiTheme="majorHAnsi" w:cs="Tahoma"/>
          <w:lang w:val="en-US"/>
        </w:rPr>
        <w:t>Koops</w:t>
      </w:r>
      <w:proofErr w:type="spellEnd"/>
      <w:r w:rsidR="00CA1C59">
        <w:rPr>
          <w:rFonts w:asciiTheme="majorHAnsi" w:hAnsiTheme="majorHAnsi" w:cs="Tahoma"/>
          <w:lang w:val="en-US"/>
        </w:rPr>
        <w:t xml:space="preserve"> and G. </w:t>
      </w:r>
      <w:proofErr w:type="spellStart"/>
      <w:r w:rsidR="00CA1C59">
        <w:rPr>
          <w:rFonts w:asciiTheme="majorHAnsi" w:hAnsiTheme="majorHAnsi" w:cs="Tahoma"/>
          <w:lang w:val="en-US"/>
        </w:rPr>
        <w:t>MacaI</w:t>
      </w:r>
      <w:proofErr w:type="spellEnd"/>
      <w:r w:rsidR="00CA1C59">
        <w:rPr>
          <w:rFonts w:asciiTheme="majorHAnsi" w:hAnsiTheme="majorHAnsi" w:cs="Tahoma"/>
          <w:lang w:val="en-US"/>
        </w:rPr>
        <w:t>, (</w:t>
      </w:r>
      <w:proofErr w:type="spellStart"/>
      <w:proofErr w:type="gramStart"/>
      <w:r w:rsidR="00CA1C59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="00CA1C59">
        <w:rPr>
          <w:rFonts w:asciiTheme="majorHAnsi" w:hAnsiTheme="majorHAnsi" w:cs="Tahoma"/>
          <w:lang w:val="en-US"/>
        </w:rPr>
        <w:t xml:space="preserve">) </w:t>
      </w:r>
      <w:r w:rsidR="00CA1C59" w:rsidRPr="00D35168">
        <w:rPr>
          <w:rFonts w:asciiTheme="majorHAnsi" w:hAnsiTheme="majorHAnsi" w:cs="Tahoma"/>
          <w:i/>
          <w:lang w:val="en-US"/>
        </w:rPr>
        <w:t>The European Union as a Diplomatic Actor</w:t>
      </w:r>
      <w:r w:rsidR="00CA1C59">
        <w:rPr>
          <w:rFonts w:asciiTheme="majorHAnsi" w:hAnsiTheme="majorHAnsi" w:cs="Tahoma"/>
          <w:lang w:val="en-US"/>
        </w:rPr>
        <w:t xml:space="preserve"> (London: Palgrave, 2015), pp.</w:t>
      </w:r>
      <w:r w:rsidR="00025E0D">
        <w:rPr>
          <w:rFonts w:asciiTheme="majorHAnsi" w:hAnsiTheme="majorHAnsi" w:cs="Tahoma"/>
          <w:lang w:val="en-US"/>
        </w:rPr>
        <w:t>103-118</w:t>
      </w:r>
      <w:r w:rsidR="00CA1C59">
        <w:rPr>
          <w:rFonts w:asciiTheme="majorHAnsi" w:hAnsiTheme="majorHAnsi" w:cs="Tahoma"/>
          <w:lang w:val="en-US"/>
        </w:rPr>
        <w:t>.</w:t>
      </w:r>
    </w:p>
    <w:p w:rsidR="00CA1C59" w:rsidRPr="00CA1C59" w:rsidRDefault="00CA1C59" w:rsidP="0024332F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CA1C59" w:rsidRPr="001D3495" w:rsidRDefault="00025E0D" w:rsidP="0024332F">
      <w:pPr>
        <w:shd w:val="clear" w:color="auto" w:fill="F5F5F5"/>
        <w:jc w:val="both"/>
        <w:textAlignment w:val="top"/>
        <w:rPr>
          <w:rFonts w:asciiTheme="majorHAnsi" w:hAnsiTheme="majorHAnsi" w:cs="Tahoma"/>
          <w:iCs/>
          <w:lang w:val="en-US"/>
        </w:rPr>
      </w:pPr>
      <w:r w:rsidRPr="0024332F">
        <w:rPr>
          <w:rStyle w:val="hps"/>
          <w:rFonts w:asciiTheme="majorHAnsi" w:hAnsiTheme="majorHAnsi"/>
          <w:color w:val="222222"/>
          <w:lang w:val="en-US"/>
        </w:rPr>
        <w:t xml:space="preserve">Y. </w:t>
      </w:r>
      <w:proofErr w:type="spellStart"/>
      <w:r w:rsidRPr="0024332F">
        <w:rPr>
          <w:rStyle w:val="hps"/>
          <w:rFonts w:asciiTheme="majorHAnsi" w:hAnsiTheme="majorHAnsi"/>
          <w:color w:val="222222"/>
          <w:lang w:val="en-US"/>
        </w:rPr>
        <w:t>Devuyst</w:t>
      </w:r>
      <w:proofErr w:type="spellEnd"/>
      <w:r w:rsidR="0024332F" w:rsidRPr="0024332F">
        <w:rPr>
          <w:rStyle w:val="hps"/>
          <w:rFonts w:asciiTheme="majorHAnsi" w:hAnsiTheme="majorHAnsi"/>
          <w:color w:val="222222"/>
          <w:lang w:val="en-US"/>
        </w:rPr>
        <w:t xml:space="preserve"> and J. Men, ‘Political Dialogue as an Instrument of EU Diplomacy: The Case of China’ in </w:t>
      </w:r>
      <w:proofErr w:type="spellStart"/>
      <w:r w:rsidR="0024332F" w:rsidRPr="0024332F">
        <w:rPr>
          <w:rFonts w:asciiTheme="majorHAnsi" w:hAnsiTheme="majorHAnsi" w:cs="Tahoma"/>
          <w:lang w:val="en-US"/>
        </w:rPr>
        <w:t>Mahncke</w:t>
      </w:r>
      <w:proofErr w:type="spellEnd"/>
      <w:r w:rsidR="0024332F" w:rsidRPr="0024332F">
        <w:rPr>
          <w:rFonts w:asciiTheme="majorHAnsi" w:hAnsiTheme="majorHAnsi" w:cs="Tahoma"/>
          <w:lang w:val="en-US"/>
        </w:rPr>
        <w:t xml:space="preserve">, D. and </w:t>
      </w:r>
      <w:proofErr w:type="spellStart"/>
      <w:r w:rsidR="0024332F" w:rsidRPr="0024332F">
        <w:rPr>
          <w:rFonts w:asciiTheme="majorHAnsi" w:hAnsiTheme="majorHAnsi" w:cs="Tahoma"/>
          <w:lang w:val="en-US"/>
        </w:rPr>
        <w:t>Gstohl</w:t>
      </w:r>
      <w:proofErr w:type="spellEnd"/>
      <w:r w:rsidR="0024332F" w:rsidRPr="0024332F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="0024332F" w:rsidRPr="0024332F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="0024332F" w:rsidRPr="0024332F">
        <w:rPr>
          <w:rFonts w:asciiTheme="majorHAnsi" w:hAnsiTheme="majorHAnsi" w:cs="Tahoma"/>
          <w:lang w:val="en-US"/>
        </w:rPr>
        <w:t xml:space="preserve">) </w:t>
      </w:r>
      <w:r w:rsidR="0024332F" w:rsidRPr="0024332F">
        <w:rPr>
          <w:rFonts w:asciiTheme="majorHAnsi" w:hAnsiTheme="majorHAnsi" w:cs="Tahoma"/>
          <w:i/>
          <w:lang w:val="en-US"/>
        </w:rPr>
        <w:t>European Union Diplomacy</w:t>
      </w:r>
      <w:r w:rsidR="0024332F" w:rsidRPr="0024332F">
        <w:rPr>
          <w:rFonts w:asciiTheme="majorHAnsi" w:hAnsiTheme="majorHAnsi" w:cs="Tahoma"/>
          <w:lang w:val="en-US"/>
        </w:rPr>
        <w:t xml:space="preserve"> (Brussels: Peter Lang, 2012)</w:t>
      </w:r>
      <w:r w:rsidR="0024332F" w:rsidRPr="0024332F">
        <w:rPr>
          <w:rFonts w:asciiTheme="majorHAnsi" w:hAnsiTheme="majorHAnsi" w:cs="Tahoma"/>
          <w:i/>
          <w:iCs/>
          <w:lang w:val="en-US"/>
        </w:rPr>
        <w:t xml:space="preserve">, </w:t>
      </w:r>
      <w:r w:rsidR="0024332F" w:rsidRPr="0024332F">
        <w:rPr>
          <w:rFonts w:asciiTheme="majorHAnsi" w:hAnsiTheme="majorHAnsi" w:cs="Tahoma"/>
          <w:iCs/>
          <w:lang w:val="en-IE"/>
        </w:rPr>
        <w:t>pp. 169-193.</w:t>
      </w:r>
    </w:p>
    <w:p w:rsidR="00CA1C59" w:rsidRDefault="00CA1C59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24332F" w:rsidRPr="00940525" w:rsidRDefault="0024332F" w:rsidP="00E769BC">
      <w:pPr>
        <w:pStyle w:val="a3"/>
        <w:numPr>
          <w:ilvl w:val="0"/>
          <w:numId w:val="10"/>
        </w:numPr>
        <w:shd w:val="clear" w:color="auto" w:fill="F5F5F5"/>
        <w:ind w:hanging="720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  <w:r w:rsidRPr="00940525">
        <w:rPr>
          <w:rStyle w:val="hps"/>
          <w:rFonts w:asciiTheme="majorHAnsi" w:hAnsiTheme="majorHAnsi"/>
          <w:b/>
          <w:color w:val="222222"/>
          <w:lang w:val="el-GR"/>
        </w:rPr>
        <w:t>Ο Διπλωματικός Ρόλος των Ειδικών και εθνικών Αντιπροσώπων και της γραφειοκρατίας της ΕΕ</w:t>
      </w:r>
    </w:p>
    <w:p w:rsidR="00940525" w:rsidRPr="00940525" w:rsidRDefault="00940525" w:rsidP="00E769BC">
      <w:pPr>
        <w:shd w:val="clear" w:color="auto" w:fill="F5F5F5"/>
        <w:ind w:left="720" w:hanging="720"/>
        <w:jc w:val="both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Default="00940525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lang w:val="en-US"/>
        </w:rPr>
      </w:pPr>
      <w:r w:rsidRPr="00940525">
        <w:rPr>
          <w:rStyle w:val="hps"/>
          <w:rFonts w:asciiTheme="majorHAnsi" w:hAnsiTheme="majorHAnsi"/>
          <w:color w:val="222222"/>
          <w:lang w:val="en-IE"/>
        </w:rPr>
        <w:t xml:space="preserve">D. </w:t>
      </w:r>
      <w:proofErr w:type="spellStart"/>
      <w:r w:rsidRPr="00940525">
        <w:rPr>
          <w:rStyle w:val="hps"/>
          <w:rFonts w:asciiTheme="majorHAnsi" w:hAnsiTheme="majorHAnsi"/>
          <w:color w:val="222222"/>
          <w:lang w:val="en-IE"/>
        </w:rPr>
        <w:t>Tolksdorf</w:t>
      </w:r>
      <w:proofErr w:type="spellEnd"/>
      <w:r w:rsidRPr="00940525">
        <w:rPr>
          <w:rStyle w:val="hps"/>
          <w:rFonts w:asciiTheme="majorHAnsi" w:hAnsiTheme="majorHAnsi"/>
          <w:color w:val="222222"/>
          <w:lang w:val="en-IE"/>
        </w:rPr>
        <w:t>, ‘Diplomacy at the Individual Level: The Role of EU Special representatives in European Foreign Policy’,</w:t>
      </w:r>
      <w:r>
        <w:rPr>
          <w:rFonts w:asciiTheme="majorHAnsi" w:hAnsiTheme="majorHAnsi" w:cs="Tahoma"/>
          <w:lang w:val="en-US"/>
        </w:rPr>
        <w:t xml:space="preserve"> in J. </w:t>
      </w:r>
      <w:proofErr w:type="spellStart"/>
      <w:r>
        <w:rPr>
          <w:rFonts w:asciiTheme="majorHAnsi" w:hAnsiTheme="majorHAnsi" w:cs="Tahoma"/>
          <w:lang w:val="en-US"/>
        </w:rPr>
        <w:t>Koops</w:t>
      </w:r>
      <w:proofErr w:type="spellEnd"/>
      <w:r>
        <w:rPr>
          <w:rFonts w:asciiTheme="majorHAnsi" w:hAnsiTheme="majorHAnsi" w:cs="Tahoma"/>
          <w:lang w:val="en-US"/>
        </w:rPr>
        <w:t xml:space="preserve"> and G. </w:t>
      </w:r>
      <w:proofErr w:type="spellStart"/>
      <w:r>
        <w:rPr>
          <w:rFonts w:asciiTheme="majorHAnsi" w:hAnsiTheme="majorHAnsi" w:cs="Tahoma"/>
          <w:lang w:val="en-US"/>
        </w:rPr>
        <w:t>MacaI</w:t>
      </w:r>
      <w:proofErr w:type="spellEnd"/>
      <w:r>
        <w:rPr>
          <w:rFonts w:asciiTheme="majorHAnsi" w:hAnsiTheme="majorHAnsi" w:cs="Tahoma"/>
          <w:lang w:val="en-US"/>
        </w:rPr>
        <w:t>, (</w:t>
      </w:r>
      <w:proofErr w:type="spellStart"/>
      <w:proofErr w:type="gramStart"/>
      <w:r>
        <w:rPr>
          <w:rFonts w:asciiTheme="majorHAnsi" w:hAnsiTheme="majorHAnsi" w:cs="Tahoma"/>
          <w:lang w:val="en-US"/>
        </w:rPr>
        <w:t>eds</w:t>
      </w:r>
      <w:proofErr w:type="spellEnd"/>
      <w:proofErr w:type="gramEnd"/>
      <w:r>
        <w:rPr>
          <w:rFonts w:asciiTheme="majorHAnsi" w:hAnsiTheme="majorHAnsi" w:cs="Tahoma"/>
          <w:lang w:val="en-US"/>
        </w:rPr>
        <w:t xml:space="preserve">) </w:t>
      </w:r>
      <w:r w:rsidRPr="00D35168">
        <w:rPr>
          <w:rFonts w:asciiTheme="majorHAnsi" w:hAnsiTheme="majorHAnsi" w:cs="Tahoma"/>
          <w:i/>
          <w:lang w:val="en-US"/>
        </w:rPr>
        <w:t>The European Union as a Diplomatic Actor</w:t>
      </w:r>
      <w:r>
        <w:rPr>
          <w:rFonts w:asciiTheme="majorHAnsi" w:hAnsiTheme="majorHAnsi" w:cs="Tahoma"/>
          <w:lang w:val="en-US"/>
        </w:rPr>
        <w:t xml:space="preserve"> (London: Palgrave, 2015), pp. 69-86.</w:t>
      </w:r>
    </w:p>
    <w:p w:rsidR="00940525" w:rsidRPr="00CA1C59" w:rsidRDefault="00940525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940525" w:rsidRPr="001D3495" w:rsidRDefault="00940525" w:rsidP="00940525">
      <w:pPr>
        <w:shd w:val="clear" w:color="auto" w:fill="F5F5F5"/>
        <w:jc w:val="both"/>
        <w:textAlignment w:val="top"/>
        <w:rPr>
          <w:rFonts w:asciiTheme="majorHAnsi" w:hAnsiTheme="majorHAnsi" w:cs="Tahoma"/>
          <w:iCs/>
          <w:lang w:val="en-US"/>
        </w:rPr>
      </w:pPr>
      <w:r w:rsidRPr="00940525">
        <w:rPr>
          <w:rStyle w:val="hps"/>
          <w:rFonts w:asciiTheme="majorHAnsi" w:hAnsiTheme="majorHAnsi"/>
          <w:color w:val="222222"/>
          <w:lang w:val="en-US"/>
        </w:rPr>
        <w:t xml:space="preserve">Y. </w:t>
      </w:r>
      <w:proofErr w:type="spellStart"/>
      <w:r w:rsidRPr="00940525">
        <w:rPr>
          <w:rStyle w:val="hps"/>
          <w:rFonts w:asciiTheme="majorHAnsi" w:hAnsiTheme="majorHAnsi"/>
          <w:color w:val="222222"/>
          <w:lang w:val="en-US"/>
        </w:rPr>
        <w:t>Harstein</w:t>
      </w:r>
      <w:proofErr w:type="spellEnd"/>
      <w:r w:rsidRPr="00940525">
        <w:rPr>
          <w:rStyle w:val="hps"/>
          <w:rFonts w:asciiTheme="majorHAnsi" w:hAnsiTheme="majorHAnsi"/>
          <w:color w:val="222222"/>
          <w:lang w:val="en-US"/>
        </w:rPr>
        <w:t xml:space="preserve">, ‘The Role of Seconded National Experts in the development of the CFSP and CSDP’, in </w:t>
      </w:r>
      <w:proofErr w:type="spellStart"/>
      <w:r w:rsidRPr="00940525">
        <w:rPr>
          <w:rFonts w:asciiTheme="majorHAnsi" w:hAnsiTheme="majorHAnsi" w:cs="Tahoma"/>
          <w:lang w:val="en-US"/>
        </w:rPr>
        <w:t>Mahncke</w:t>
      </w:r>
      <w:proofErr w:type="spellEnd"/>
      <w:r w:rsidRPr="00940525">
        <w:rPr>
          <w:rFonts w:asciiTheme="majorHAnsi" w:hAnsiTheme="majorHAnsi" w:cs="Tahoma"/>
          <w:lang w:val="en-US"/>
        </w:rPr>
        <w:t xml:space="preserve">, D. and </w:t>
      </w:r>
      <w:proofErr w:type="spellStart"/>
      <w:r w:rsidRPr="00940525">
        <w:rPr>
          <w:rFonts w:asciiTheme="majorHAnsi" w:hAnsiTheme="majorHAnsi" w:cs="Tahoma"/>
          <w:lang w:val="en-US"/>
        </w:rPr>
        <w:t>Gstohl</w:t>
      </w:r>
      <w:proofErr w:type="spellEnd"/>
      <w:r w:rsidRPr="00940525">
        <w:rPr>
          <w:rFonts w:asciiTheme="majorHAnsi" w:hAnsiTheme="majorHAnsi" w:cs="Tahoma"/>
          <w:lang w:val="en-US"/>
        </w:rPr>
        <w:t>, S. (</w:t>
      </w:r>
      <w:proofErr w:type="spellStart"/>
      <w:proofErr w:type="gramStart"/>
      <w:r w:rsidRPr="00940525">
        <w:rPr>
          <w:rFonts w:asciiTheme="majorHAnsi" w:hAnsiTheme="majorHAnsi" w:cs="Tahoma"/>
          <w:lang w:val="en-US"/>
        </w:rPr>
        <w:t>eds</w:t>
      </w:r>
      <w:proofErr w:type="spellEnd"/>
      <w:proofErr w:type="gramEnd"/>
      <w:r w:rsidRPr="00940525">
        <w:rPr>
          <w:rFonts w:asciiTheme="majorHAnsi" w:hAnsiTheme="majorHAnsi" w:cs="Tahoma"/>
          <w:lang w:val="en-US"/>
        </w:rPr>
        <w:t xml:space="preserve">) </w:t>
      </w:r>
      <w:r w:rsidRPr="00940525">
        <w:rPr>
          <w:rFonts w:asciiTheme="majorHAnsi" w:hAnsiTheme="majorHAnsi" w:cs="Tahoma"/>
          <w:i/>
          <w:lang w:val="en-US"/>
        </w:rPr>
        <w:t>European Union Diplomacy</w:t>
      </w:r>
      <w:r w:rsidRPr="00940525">
        <w:rPr>
          <w:rFonts w:asciiTheme="majorHAnsi" w:hAnsiTheme="majorHAnsi" w:cs="Tahoma"/>
          <w:lang w:val="en-US"/>
        </w:rPr>
        <w:t xml:space="preserve"> (Brussels: Peter Lang, 2012)</w:t>
      </w:r>
      <w:r w:rsidRPr="00940525">
        <w:rPr>
          <w:rFonts w:asciiTheme="majorHAnsi" w:hAnsiTheme="majorHAnsi" w:cs="Tahoma"/>
          <w:i/>
          <w:iCs/>
          <w:lang w:val="en-US"/>
        </w:rPr>
        <w:t xml:space="preserve">, </w:t>
      </w:r>
      <w:r w:rsidRPr="00940525">
        <w:rPr>
          <w:rFonts w:asciiTheme="majorHAnsi" w:hAnsiTheme="majorHAnsi" w:cs="Tahoma"/>
          <w:iCs/>
          <w:lang w:val="en-IE"/>
        </w:rPr>
        <w:t>pp.115-141</w:t>
      </w:r>
      <w:r w:rsidRPr="0024332F">
        <w:rPr>
          <w:rFonts w:asciiTheme="majorHAnsi" w:hAnsiTheme="majorHAnsi" w:cs="Tahoma"/>
          <w:iCs/>
          <w:lang w:val="en-IE"/>
        </w:rPr>
        <w:t>.</w:t>
      </w:r>
    </w:p>
    <w:p w:rsidR="0024332F" w:rsidRDefault="0024332F" w:rsidP="00940525">
      <w:pPr>
        <w:shd w:val="clear" w:color="auto" w:fill="F5F5F5"/>
        <w:jc w:val="both"/>
        <w:textAlignment w:val="top"/>
        <w:rPr>
          <w:rStyle w:val="hps"/>
          <w:rFonts w:asciiTheme="majorHAnsi" w:hAnsiTheme="majorHAnsi"/>
          <w:b/>
          <w:color w:val="222222"/>
          <w:lang w:val="en-US"/>
        </w:rPr>
      </w:pPr>
    </w:p>
    <w:p w:rsidR="00552FB3" w:rsidRPr="00552FB3" w:rsidRDefault="00552FB3" w:rsidP="00552FB3">
      <w:pPr>
        <w:pStyle w:val="a3"/>
        <w:numPr>
          <w:ilvl w:val="0"/>
          <w:numId w:val="10"/>
        </w:numPr>
        <w:ind w:left="0" w:firstLine="0"/>
        <w:jc w:val="both"/>
        <w:rPr>
          <w:rFonts w:asciiTheme="majorHAnsi" w:hAnsiTheme="majorHAnsi" w:cs="Arial"/>
          <w:b/>
          <w:color w:val="222222"/>
          <w:lang w:val="el-GR"/>
        </w:rPr>
      </w:pPr>
      <w:r w:rsidRPr="00552FB3">
        <w:rPr>
          <w:rFonts w:asciiTheme="majorHAnsi" w:hAnsiTheme="majorHAnsi" w:cs="Arial"/>
          <w:b/>
          <w:color w:val="222222"/>
          <w:lang w:val="el-GR"/>
        </w:rPr>
        <w:t>Η αξιολόγηση της διπλωματικής δράσης της ΕΕ: ​​προς μια πιο συνεκτική, ενεργή και Διπλωματία για την ΕΕ στη διεθνή σκηνή</w:t>
      </w:r>
    </w:p>
    <w:p w:rsidR="00940525" w:rsidRPr="00924155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940525" w:rsidRPr="00552FB3" w:rsidRDefault="00940525" w:rsidP="00482BB9">
      <w:pPr>
        <w:shd w:val="clear" w:color="auto" w:fill="F5F5F5"/>
        <w:textAlignment w:val="top"/>
        <w:rPr>
          <w:rStyle w:val="hps"/>
          <w:rFonts w:asciiTheme="majorHAnsi" w:hAnsiTheme="majorHAnsi"/>
          <w:b/>
          <w:color w:val="222222"/>
          <w:lang w:val="el-GR"/>
        </w:rPr>
      </w:pPr>
    </w:p>
    <w:p w:rsidR="00482BB9" w:rsidRPr="001D3495" w:rsidRDefault="00482BB9" w:rsidP="00482BB9">
      <w:pPr>
        <w:rPr>
          <w:rFonts w:asciiTheme="majorHAnsi" w:hAnsiTheme="majorHAnsi"/>
          <w:lang w:val="el-GR"/>
        </w:rPr>
      </w:pPr>
    </w:p>
    <w:p w:rsidR="00482BB9" w:rsidRPr="001D3495" w:rsidRDefault="00482BB9" w:rsidP="00482BB9">
      <w:pPr>
        <w:rPr>
          <w:lang w:val="el-GR"/>
        </w:rPr>
      </w:pPr>
    </w:p>
    <w:p w:rsidR="00482BB9" w:rsidRPr="001D3495" w:rsidRDefault="00482BB9" w:rsidP="00156E2F">
      <w:pPr>
        <w:pStyle w:val="a3"/>
        <w:ind w:left="0"/>
        <w:jc w:val="both"/>
        <w:rPr>
          <w:rFonts w:asciiTheme="majorHAnsi" w:hAnsiTheme="majorHAnsi"/>
          <w:lang w:val="el-GR"/>
        </w:rPr>
      </w:pPr>
    </w:p>
    <w:sectPr w:rsidR="00482BB9" w:rsidRPr="001D3495" w:rsidSect="008E2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D9" w:rsidRDefault="003B45D9" w:rsidP="006A4D56">
      <w:r>
        <w:separator/>
      </w:r>
    </w:p>
  </w:endnote>
  <w:endnote w:type="continuationSeparator" w:id="0">
    <w:p w:rsidR="003B45D9" w:rsidRDefault="003B45D9" w:rsidP="006A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68" w:rsidRDefault="00D351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735"/>
      <w:docPartObj>
        <w:docPartGallery w:val="Page Numbers (Bottom of Page)"/>
        <w:docPartUnique/>
      </w:docPartObj>
    </w:sdtPr>
    <w:sdtContent>
      <w:p w:rsidR="00D35168" w:rsidRDefault="00AD5062">
        <w:pPr>
          <w:pStyle w:val="a6"/>
          <w:jc w:val="right"/>
        </w:pPr>
        <w:fldSimple w:instr=" PAGE   \* MERGEFORMAT ">
          <w:r w:rsidR="00924155">
            <w:rPr>
              <w:noProof/>
            </w:rPr>
            <w:t>1</w:t>
          </w:r>
        </w:fldSimple>
      </w:p>
    </w:sdtContent>
  </w:sdt>
  <w:p w:rsidR="00D35168" w:rsidRDefault="00D351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68" w:rsidRDefault="00D351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D9" w:rsidRDefault="003B45D9" w:rsidP="006A4D56">
      <w:r>
        <w:separator/>
      </w:r>
    </w:p>
  </w:footnote>
  <w:footnote w:type="continuationSeparator" w:id="0">
    <w:p w:rsidR="003B45D9" w:rsidRDefault="003B45D9" w:rsidP="006A4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68" w:rsidRDefault="00D351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68" w:rsidRDefault="00D351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68" w:rsidRDefault="00D351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387"/>
    <w:multiLevelType w:val="hybridMultilevel"/>
    <w:tmpl w:val="FBF8E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555D3F"/>
    <w:multiLevelType w:val="hybridMultilevel"/>
    <w:tmpl w:val="34529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F49"/>
    <w:multiLevelType w:val="hybridMultilevel"/>
    <w:tmpl w:val="DFA427E8"/>
    <w:lvl w:ilvl="0" w:tplc="8B56E3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22C16CE1"/>
    <w:multiLevelType w:val="hybridMultilevel"/>
    <w:tmpl w:val="CA0809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6560"/>
    <w:multiLevelType w:val="hybridMultilevel"/>
    <w:tmpl w:val="D36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668E1"/>
    <w:multiLevelType w:val="hybridMultilevel"/>
    <w:tmpl w:val="14C084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3DED"/>
    <w:multiLevelType w:val="hybridMultilevel"/>
    <w:tmpl w:val="F4C6E2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43595"/>
    <w:multiLevelType w:val="hybridMultilevel"/>
    <w:tmpl w:val="9C10949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15739"/>
    <w:multiLevelType w:val="hybridMultilevel"/>
    <w:tmpl w:val="F484F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EB46D8"/>
    <w:multiLevelType w:val="hybridMultilevel"/>
    <w:tmpl w:val="FAECB34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7A883490">
      <w:start w:val="5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A7"/>
    <w:rsid w:val="00025E0D"/>
    <w:rsid w:val="000D336B"/>
    <w:rsid w:val="000E734B"/>
    <w:rsid w:val="00156E2F"/>
    <w:rsid w:val="001C6F47"/>
    <w:rsid w:val="001D3495"/>
    <w:rsid w:val="0024332F"/>
    <w:rsid w:val="0030317A"/>
    <w:rsid w:val="00315444"/>
    <w:rsid w:val="00315EBE"/>
    <w:rsid w:val="003543A7"/>
    <w:rsid w:val="003A1F27"/>
    <w:rsid w:val="003B45D9"/>
    <w:rsid w:val="003F2F39"/>
    <w:rsid w:val="003F3D62"/>
    <w:rsid w:val="00415A6C"/>
    <w:rsid w:val="00445C37"/>
    <w:rsid w:val="00482BB9"/>
    <w:rsid w:val="00491961"/>
    <w:rsid w:val="004B1613"/>
    <w:rsid w:val="00524DE6"/>
    <w:rsid w:val="00552FB3"/>
    <w:rsid w:val="005806DC"/>
    <w:rsid w:val="005A19E1"/>
    <w:rsid w:val="005A2042"/>
    <w:rsid w:val="006612A6"/>
    <w:rsid w:val="006A4D56"/>
    <w:rsid w:val="007237CE"/>
    <w:rsid w:val="0074106F"/>
    <w:rsid w:val="00774F3C"/>
    <w:rsid w:val="007B5A50"/>
    <w:rsid w:val="007F6B55"/>
    <w:rsid w:val="00822E22"/>
    <w:rsid w:val="008C14A4"/>
    <w:rsid w:val="008E251B"/>
    <w:rsid w:val="008F35B9"/>
    <w:rsid w:val="00924155"/>
    <w:rsid w:val="00940525"/>
    <w:rsid w:val="00984FB1"/>
    <w:rsid w:val="00AD5062"/>
    <w:rsid w:val="00B34A3C"/>
    <w:rsid w:val="00B42196"/>
    <w:rsid w:val="00B66CE9"/>
    <w:rsid w:val="00B76B5F"/>
    <w:rsid w:val="00B80E5A"/>
    <w:rsid w:val="00B925C2"/>
    <w:rsid w:val="00BB7B09"/>
    <w:rsid w:val="00C16791"/>
    <w:rsid w:val="00CA1C59"/>
    <w:rsid w:val="00CA4F9A"/>
    <w:rsid w:val="00CC7A25"/>
    <w:rsid w:val="00D020B0"/>
    <w:rsid w:val="00D14B36"/>
    <w:rsid w:val="00D21889"/>
    <w:rsid w:val="00D35168"/>
    <w:rsid w:val="00D53847"/>
    <w:rsid w:val="00DB2201"/>
    <w:rsid w:val="00DC5E62"/>
    <w:rsid w:val="00E012FB"/>
    <w:rsid w:val="00E11B3A"/>
    <w:rsid w:val="00E769BC"/>
    <w:rsid w:val="00EA4A94"/>
    <w:rsid w:val="00EC4F30"/>
    <w:rsid w:val="00F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5A6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543A7"/>
  </w:style>
  <w:style w:type="paragraph" w:styleId="a3">
    <w:name w:val="List Paragraph"/>
    <w:basedOn w:val="a"/>
    <w:uiPriority w:val="34"/>
    <w:qFormat/>
    <w:rsid w:val="00DB220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415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paragraph" w:styleId="Web">
    <w:name w:val="Normal (Web)"/>
    <w:basedOn w:val="a"/>
    <w:uiPriority w:val="99"/>
    <w:unhideWhenUsed/>
    <w:rsid w:val="005A2042"/>
    <w:pPr>
      <w:spacing w:before="120" w:after="240"/>
    </w:pPr>
    <w:rPr>
      <w:lang w:val="en-US" w:eastAsia="en-US"/>
    </w:rPr>
  </w:style>
  <w:style w:type="character" w:styleId="a4">
    <w:name w:val="Emphasis"/>
    <w:basedOn w:val="a0"/>
    <w:uiPriority w:val="20"/>
    <w:qFormat/>
    <w:rsid w:val="005A2042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6A4D5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6A4D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Char0"/>
    <w:uiPriority w:val="99"/>
    <w:unhideWhenUsed/>
    <w:rsid w:val="006A4D5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6A4D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ufp.eu/m%C3%BCller-brandeck-bocquet-g-c-r%C3%BCger-eds-high-representative-eu-foreign-and-security-policy-review-a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2017-09-26T18:54:00Z</dcterms:created>
  <dcterms:modified xsi:type="dcterms:W3CDTF">2017-09-27T08:14:00Z</dcterms:modified>
</cp:coreProperties>
</file>