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94D28" w:rsidTr="00394D28">
        <w:tc>
          <w:tcPr>
            <w:tcW w:w="0" w:type="auto"/>
            <w:vAlign w:val="center"/>
            <w:hideMark/>
          </w:tcPr>
          <w:p w:rsidR="00394D28" w:rsidRDefault="007D772E">
            <w:pPr>
              <w:rPr>
                <w:rFonts w:eastAsia="Times New Roman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0D0483E" wp14:editId="3BC9C1FC">
                  <wp:extent cx="5943600" cy="30937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093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4D28" w:rsidRDefault="00394D28" w:rsidP="00394D28">
      <w:pPr>
        <w:rPr>
          <w:rFonts w:eastAsia="Times New Roman"/>
          <w:vanish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6"/>
      </w:tblGrid>
      <w:tr w:rsidR="00394D28" w:rsidTr="004B612F">
        <w:trPr>
          <w:trHeight w:val="5126"/>
        </w:trPr>
        <w:tc>
          <w:tcPr>
            <w:tcW w:w="0" w:type="auto"/>
            <w:tcBorders>
              <w:top w:val="nil"/>
              <w:left w:val="nil"/>
              <w:bottom w:val="single" w:sz="6" w:space="0" w:color="626262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7"/>
            </w:tblGrid>
            <w:tr w:rsidR="00394D28">
              <w:tc>
                <w:tcPr>
                  <w:tcW w:w="8887" w:type="dxa"/>
                  <w:vAlign w:val="center"/>
                </w:tcPr>
                <w:p w:rsidR="00394D28" w:rsidRPr="00394D28" w:rsidRDefault="00394D28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Dear Student,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     </w:t>
                  </w:r>
                </w:p>
                <w:p w:rsidR="00394D28" w:rsidRDefault="00394D28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ACCA, The Association of </w:t>
                  </w:r>
                  <w:r w:rsidR="00774AC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Chartered Certified Accountants and ICPAC, </w:t>
                  </w:r>
                  <w:r w:rsidR="00774ACC" w:rsidRPr="00774AC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The Institute of Certified Public Accountants of Cyprus</w:t>
                  </w:r>
                  <w:r w:rsidR="00774AC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, have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partnered with some</w:t>
                  </w:r>
                  <w:r w:rsidR="004B612F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of the biggest global accounting </w:t>
                  </w:r>
                  <w:r w:rsidR="00AE2CAB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firms in Cyprus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to offer </w:t>
                  </w:r>
                  <w:r w:rsidR="00FE61B2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15 </w:t>
                  </w:r>
                  <w:r w:rsidR="004B612F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lucky 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business, ac</w:t>
                  </w:r>
                  <w:r w:rsidR="004B612F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counting and finance graduates a paid internship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r w:rsidR="00AE2CAB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in January 2018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*.</w:t>
                  </w:r>
                </w:p>
                <w:p w:rsidR="00394D28" w:rsidRDefault="004B612F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Each </w:t>
                  </w:r>
                  <w:r w:rsidR="00394D28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internship</w:t>
                  </w:r>
                  <w:proofErr w:type="gramEnd"/>
                  <w:r w:rsidR="00394D28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will run for 3 months and winning candidates will gain the opportunity to kick-start their careers with some of the industry’s leading organisations includin</w:t>
                  </w:r>
                  <w:r w:rsidR="00090ED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g Pw</w:t>
                  </w:r>
                  <w:r w:rsidR="00AE2CAB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C</w:t>
                  </w:r>
                  <w:r w:rsidR="00F264C2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, Grant Thornton and EY</w:t>
                  </w:r>
                  <w:r w:rsidR="00394D28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. </w:t>
                  </w:r>
                </w:p>
                <w:p w:rsidR="00394D28" w:rsidRDefault="00394D28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u w:val="single"/>
                    </w:rPr>
                    <w:t>How do you apply?</w:t>
                  </w:r>
                </w:p>
                <w:p w:rsidR="00AE2CAB" w:rsidRPr="00AE2CAB" w:rsidRDefault="00AE2CAB" w:rsidP="004B612F">
                  <w:pPr>
                    <w:rPr>
                      <w:rFonts w:ascii="Arial" w:hAnsi="Arial" w:cs="Arial"/>
                      <w:lang w:eastAsia="en-GB"/>
                    </w:rPr>
                  </w:pPr>
                  <w:r w:rsidRPr="00AE2CAB">
                    <w:rPr>
                      <w:rFonts w:ascii="Arial" w:hAnsi="Arial" w:cs="Arial"/>
                      <w:lang w:eastAsia="en-GB"/>
                    </w:rPr>
                    <w:t xml:space="preserve">Send your CV and personal details for assessment to ACCA. If successful you must be prepared to take a short phone interview comprised of 2-3 competency questions. </w:t>
                  </w:r>
                </w:p>
                <w:p w:rsidR="00394D28" w:rsidRDefault="004B612F" w:rsidP="004B612F">
                  <w:pPr>
                    <w:rPr>
                      <w:rStyle w:val="Hyperlink"/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AE2CAB">
                    <w:rPr>
                      <w:rFonts w:ascii="Arial" w:hAnsi="Arial" w:cs="Arial"/>
                      <w:color w:val="000000"/>
                    </w:rPr>
                    <w:t xml:space="preserve">Entries </w:t>
                  </w:r>
                  <w:r w:rsidR="00394D28" w:rsidRPr="00AE2CAB">
                    <w:rPr>
                      <w:rFonts w:ascii="Arial" w:hAnsi="Arial" w:cs="Arial"/>
                      <w:color w:val="000000"/>
                    </w:rPr>
                    <w:t xml:space="preserve">along </w:t>
                  </w:r>
                  <w:r w:rsidR="00AE2CAB" w:rsidRPr="00AE2CAB">
                    <w:rPr>
                      <w:rFonts w:ascii="Arial" w:hAnsi="Arial" w:cs="Arial"/>
                      <w:color w:val="000000"/>
                    </w:rPr>
                    <w:t xml:space="preserve">with </w:t>
                  </w:r>
                  <w:r w:rsidRPr="00AE2CAB">
                    <w:rPr>
                      <w:rFonts w:ascii="Arial" w:hAnsi="Arial" w:cs="Arial"/>
                      <w:bCs/>
                      <w:color w:val="000000"/>
                    </w:rPr>
                    <w:t xml:space="preserve">an up to date headshot </w:t>
                  </w:r>
                  <w:r w:rsidRPr="00AE2CAB">
                    <w:rPr>
                      <w:rFonts w:ascii="Arial" w:hAnsi="Arial" w:cs="Arial"/>
                      <w:color w:val="000000"/>
                    </w:rPr>
                    <w:t>must be emailed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r w:rsidR="00394D28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to </w:t>
                  </w:r>
                  <w:hyperlink r:id="rId7" w:history="1">
                    <w:r w:rsidR="00AE2CAB" w:rsidRPr="00241060">
                      <w:rPr>
                        <w:rStyle w:val="Hyperlink"/>
                        <w:rFonts w:ascii="Arial" w:hAnsi="Arial" w:cs="Arial"/>
                        <w:sz w:val="21"/>
                        <w:szCs w:val="21"/>
                      </w:rPr>
                      <w:t>cyprusinternship@accaglobal.com</w:t>
                    </w:r>
                  </w:hyperlink>
                  <w:r>
                    <w:rPr>
                      <w:rStyle w:val="Hyperlink"/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r w:rsidR="00AE2CAB" w:rsidRPr="00AE2CAB">
                    <w:rPr>
                      <w:rStyle w:val="Hyperlink"/>
                      <w:rFonts w:ascii="Arial" w:hAnsi="Arial" w:cs="Arial"/>
                      <w:color w:val="000000"/>
                      <w:sz w:val="21"/>
                      <w:szCs w:val="21"/>
                      <w:u w:val="none"/>
                    </w:rPr>
                    <w:t xml:space="preserve">by </w:t>
                  </w:r>
                  <w:r w:rsidR="008C1DAD">
                    <w:rPr>
                      <w:rStyle w:val="Hyperlink"/>
                      <w:rFonts w:ascii="Arial" w:hAnsi="Arial" w:cs="Arial"/>
                      <w:b/>
                      <w:color w:val="000000"/>
                      <w:sz w:val="21"/>
                      <w:szCs w:val="21"/>
                      <w:u w:val="none"/>
                    </w:rPr>
                    <w:t>10</w:t>
                  </w:r>
                  <w:r w:rsidR="008C1DAD" w:rsidRPr="008C1DAD">
                    <w:rPr>
                      <w:rStyle w:val="Hyperlink"/>
                      <w:rFonts w:ascii="Arial" w:hAnsi="Arial" w:cs="Arial"/>
                      <w:b/>
                      <w:color w:val="000000"/>
                      <w:sz w:val="21"/>
                      <w:szCs w:val="21"/>
                      <w:u w:val="none"/>
                      <w:vertAlign w:val="superscript"/>
                    </w:rPr>
                    <w:t>th</w:t>
                  </w:r>
                  <w:r w:rsidR="008C1DAD">
                    <w:rPr>
                      <w:rStyle w:val="Hyperlink"/>
                      <w:rFonts w:ascii="Arial" w:hAnsi="Arial" w:cs="Arial"/>
                      <w:b/>
                      <w:color w:val="000000"/>
                      <w:sz w:val="21"/>
                      <w:szCs w:val="21"/>
                      <w:u w:val="none"/>
                    </w:rPr>
                    <w:t xml:space="preserve"> </w:t>
                  </w:r>
                  <w:r w:rsidR="00E64CAD">
                    <w:rPr>
                      <w:rStyle w:val="Hyperlink"/>
                      <w:rFonts w:ascii="Arial" w:hAnsi="Arial" w:cs="Arial"/>
                      <w:b/>
                      <w:color w:val="000000"/>
                      <w:sz w:val="21"/>
                      <w:szCs w:val="21"/>
                      <w:u w:val="none"/>
                    </w:rPr>
                    <w:t xml:space="preserve">November </w:t>
                  </w:r>
                </w:p>
                <w:p w:rsidR="004B612F" w:rsidRPr="004B612F" w:rsidRDefault="004B612F" w:rsidP="004B612F">
                  <w:pPr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Style w:val="Hyperlink"/>
                      <w:rFonts w:ascii="Arial" w:hAnsi="Arial" w:cs="Arial"/>
                      <w:b/>
                      <w:color w:val="000000"/>
                      <w:sz w:val="21"/>
                      <w:szCs w:val="21"/>
                      <w:u w:val="none"/>
                    </w:rPr>
                    <w:t>*</w:t>
                  </w:r>
                  <w:r w:rsidRPr="004B612F">
                    <w:rPr>
                      <w:rStyle w:val="Hyperlink"/>
                      <w:rFonts w:ascii="Arial" w:hAnsi="Arial" w:cs="Arial"/>
                      <w:b/>
                      <w:color w:val="000000"/>
                      <w:sz w:val="21"/>
                      <w:szCs w:val="21"/>
                      <w:u w:val="none"/>
                    </w:rPr>
                    <w:t xml:space="preserve">Please visit </w:t>
                  </w:r>
                  <w:hyperlink r:id="rId8" w:history="1">
                    <w:r w:rsidRPr="004B612F">
                      <w:rPr>
                        <w:rStyle w:val="Hyperlink"/>
                        <w:rFonts w:ascii="Arial" w:hAnsi="Arial" w:cs="Arial"/>
                        <w:b/>
                        <w:sz w:val="21"/>
                        <w:szCs w:val="21"/>
                      </w:rPr>
                      <w:t>ACCA’s website</w:t>
                    </w:r>
                  </w:hyperlink>
                  <w:r w:rsidRPr="004B612F">
                    <w:rPr>
                      <w:rStyle w:val="Hyperlink"/>
                      <w:rFonts w:ascii="Arial" w:hAnsi="Arial" w:cs="Arial"/>
                      <w:b/>
                      <w:color w:val="000000"/>
                      <w:sz w:val="21"/>
                      <w:szCs w:val="21"/>
                      <w:u w:val="none"/>
                    </w:rPr>
                    <w:t xml:space="preserve"> for a full list of entry requirements and Terms and conditions </w:t>
                  </w:r>
                </w:p>
              </w:tc>
            </w:tr>
          </w:tbl>
          <w:p w:rsidR="00394D28" w:rsidRDefault="00394D2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394D28" w:rsidRDefault="00394D28" w:rsidP="00394D28">
      <w:pPr>
        <w:rPr>
          <w:rFonts w:eastAsia="Times New Roman"/>
          <w:vanish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6"/>
      </w:tblGrid>
      <w:tr w:rsidR="00394D28" w:rsidTr="004B612F">
        <w:trPr>
          <w:trHeight w:val="2349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94D28" w:rsidRDefault="00394D28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D40F04"/>
              </w:rPr>
              <w:t xml:space="preserve">Applications must be submitted by </w:t>
            </w:r>
            <w:r w:rsidR="008C1DAD">
              <w:rPr>
                <w:rFonts w:ascii="Arial" w:hAnsi="Arial" w:cs="Arial"/>
                <w:b/>
                <w:bCs/>
                <w:color w:val="D40F04"/>
              </w:rPr>
              <w:t>November 10</w:t>
            </w:r>
            <w:r w:rsidR="008C1DAD" w:rsidRPr="008C1DAD">
              <w:rPr>
                <w:rFonts w:ascii="Arial" w:hAnsi="Arial" w:cs="Arial"/>
                <w:b/>
                <w:bCs/>
                <w:color w:val="D40F04"/>
                <w:vertAlign w:val="superscript"/>
              </w:rPr>
              <w:t>th</w:t>
            </w:r>
            <w:r w:rsidR="008C1DAD">
              <w:rPr>
                <w:rFonts w:ascii="Arial" w:hAnsi="Arial" w:cs="Arial"/>
                <w:b/>
                <w:bCs/>
                <w:color w:val="D40F04"/>
              </w:rPr>
              <w:t xml:space="preserve"> </w:t>
            </w:r>
            <w:bookmarkStart w:id="0" w:name="_GoBack"/>
            <w:bookmarkEnd w:id="0"/>
            <w:r w:rsidR="00774ACC">
              <w:rPr>
                <w:rFonts w:ascii="Arial" w:hAnsi="Arial" w:cs="Arial"/>
                <w:b/>
                <w:bCs/>
                <w:color w:val="D40F04"/>
              </w:rPr>
              <w:t xml:space="preserve"> </w:t>
            </w:r>
          </w:p>
          <w:p w:rsidR="00394D28" w:rsidRDefault="00394D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                   </w:t>
            </w:r>
          </w:p>
          <w:p w:rsidR="00394D28" w:rsidRDefault="00394D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 shortlist of candidates will then be selected and contacted via email by ACCA inviting t</w:t>
            </w:r>
            <w:r w:rsidR="00E64CAD">
              <w:rPr>
                <w:rFonts w:ascii="Arial" w:hAnsi="Arial" w:cs="Arial"/>
                <w:color w:val="000000"/>
                <w:sz w:val="21"/>
                <w:szCs w:val="21"/>
              </w:rPr>
              <w:t xml:space="preserve">hem to an assessment centre in Nicosia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on </w:t>
            </w:r>
            <w:r w:rsidR="00AE2CAB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December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AE2CAB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5</w:t>
            </w:r>
            <w:r w:rsidR="004B612F" w:rsidRPr="004B612F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where the winning candidates will be selected to take part in the Internship Programme.</w:t>
            </w:r>
          </w:p>
          <w:p w:rsidR="00394D28" w:rsidRDefault="00394D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394D28" w:rsidRPr="004B612F" w:rsidRDefault="00394D28" w:rsidP="00AE2C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Please note: All applicants need to be available to attend an A</w:t>
            </w:r>
            <w:r w:rsidR="00AE2CAB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ssessment Centre on D</w:t>
            </w:r>
            <w:r w:rsidR="004B612F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e</w:t>
            </w:r>
            <w:r w:rsidR="00AE2CAB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cember 5</w:t>
            </w:r>
            <w:r w:rsidR="004B612F" w:rsidRPr="004B612F">
              <w:rPr>
                <w:rFonts w:ascii="Arial" w:hAnsi="Arial" w:cs="Arial"/>
                <w:i/>
                <w:iCs/>
                <w:color w:val="000000"/>
                <w:sz w:val="21"/>
                <w:szCs w:val="21"/>
                <w:vertAlign w:val="superscript"/>
              </w:rPr>
              <w:t>th</w:t>
            </w:r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. Entrants must a</w:t>
            </w:r>
            <w:r w:rsidR="004B612F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lso be available to work from </w:t>
            </w:r>
            <w:r w:rsidR="00AE2CAB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January 2</w:t>
            </w:r>
            <w:r w:rsidR="00AE2CAB" w:rsidRPr="00AE2CAB">
              <w:rPr>
                <w:rFonts w:ascii="Arial" w:hAnsi="Arial" w:cs="Arial"/>
                <w:i/>
                <w:iCs/>
                <w:color w:val="000000"/>
                <w:sz w:val="21"/>
                <w:szCs w:val="21"/>
                <w:vertAlign w:val="superscript"/>
              </w:rPr>
              <w:t>nd</w:t>
            </w:r>
            <w:r w:rsidR="00AE2CAB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fo</w:t>
            </w:r>
            <w:r w:rsidR="004B612F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r 40 hours per week for 3 months.</w:t>
            </w:r>
          </w:p>
        </w:tc>
      </w:tr>
    </w:tbl>
    <w:p w:rsidR="00394D28" w:rsidRDefault="00394D28" w:rsidP="00394D28">
      <w:pPr>
        <w:rPr>
          <w:rFonts w:eastAsia="Times New Roman"/>
          <w:vanish/>
        </w:rPr>
      </w:pPr>
    </w:p>
    <w:p w:rsidR="00AE023A" w:rsidRDefault="00AE023A"/>
    <w:sectPr w:rsidR="00AE02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1C7F"/>
    <w:multiLevelType w:val="multilevel"/>
    <w:tmpl w:val="D042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B00D16"/>
    <w:multiLevelType w:val="multilevel"/>
    <w:tmpl w:val="4F2A8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DD0DB4"/>
    <w:multiLevelType w:val="multilevel"/>
    <w:tmpl w:val="BBC60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C873EC"/>
    <w:multiLevelType w:val="multilevel"/>
    <w:tmpl w:val="FD36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DD1DB4"/>
    <w:multiLevelType w:val="multilevel"/>
    <w:tmpl w:val="4CB2B42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5">
    <w:nsid w:val="535C280F"/>
    <w:multiLevelType w:val="multilevel"/>
    <w:tmpl w:val="E830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2F7E28"/>
    <w:multiLevelType w:val="multilevel"/>
    <w:tmpl w:val="3E3E3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353229"/>
    <w:multiLevelType w:val="multilevel"/>
    <w:tmpl w:val="150E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D28"/>
    <w:rsid w:val="00090ED6"/>
    <w:rsid w:val="002C46EB"/>
    <w:rsid w:val="002E63B9"/>
    <w:rsid w:val="00356D3C"/>
    <w:rsid w:val="00394D28"/>
    <w:rsid w:val="004B612F"/>
    <w:rsid w:val="00774ACC"/>
    <w:rsid w:val="007D772E"/>
    <w:rsid w:val="008C1DAD"/>
    <w:rsid w:val="009F1AE7"/>
    <w:rsid w:val="00AA7F2D"/>
    <w:rsid w:val="00AE023A"/>
    <w:rsid w:val="00AE2CAB"/>
    <w:rsid w:val="00B04E1F"/>
    <w:rsid w:val="00DC0102"/>
    <w:rsid w:val="00E64CAD"/>
    <w:rsid w:val="00F264C2"/>
    <w:rsid w:val="00FE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4D2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94D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D2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B61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4D2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94D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D2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B61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rfuture.accaglobal.com/global/campaign/CyprusInterns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yprusinternship@accaglob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ACCA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Ciara Donnelly</dc:creator>
  <cp:lastModifiedBy>Muska Ahmadzai</cp:lastModifiedBy>
  <cp:revision>6</cp:revision>
  <dcterms:created xsi:type="dcterms:W3CDTF">2017-10-11T10:05:00Z</dcterms:created>
  <dcterms:modified xsi:type="dcterms:W3CDTF">2017-10-27T09:22:00Z</dcterms:modified>
</cp:coreProperties>
</file>